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eastAsia="Calibri" w:hAnsi="Times New Roman" w:cs="Times New Roman"/>
          <w:b/>
          <w:spacing w:val="40"/>
          <w:sz w:val="32"/>
          <w:szCs w:val="32"/>
        </w:rPr>
      </w:pPr>
      <w:r>
        <w:rPr>
          <w:rFonts w:ascii="Times New Roman" w:eastAsia="Calibri" w:hAnsi="Times New Roman" w:cs="Times New Roman"/>
          <w:b/>
          <w:spacing w:val="40"/>
          <w:sz w:val="32"/>
          <w:szCs w:val="32"/>
        </w:rPr>
        <w:t>ΕΝΩΤΙΚΗ ΑΓΩΝΙΣΤΙΚΗ ΚΙΝΗΣΗ ΠΥΡΟΣΒΕΣΤΩΝ</w:t>
      </w:r>
    </w:p>
    <w:p>
      <w:pPr>
        <w:spacing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u w:val="single"/>
        </w:rPr>
        <w:t>.    Της  Πανελλήνιας  Ομοσπονδίας  Ενώσεων  Υπαλλήλων  Πυροσβεστικού  Σώματος     .</w:t>
      </w:r>
    </w:p>
    <w:p>
      <w:pPr>
        <w:spacing w:after="300"/>
        <w:ind w:firstLine="340"/>
        <w:jc w:val="center"/>
        <w:rPr>
          <w:rFonts w:ascii="Times New Roman" w:eastAsia="Calibri" w:hAnsi="Times New Roman" w:cs="Times New Roman"/>
          <w:b/>
          <w:sz w:val="20"/>
          <w:szCs w:val="20"/>
          <w:lang w:val="en-US"/>
        </w:rPr>
      </w:pPr>
      <w:r>
        <w:rPr>
          <w:rFonts w:ascii="Times New Roman" w:eastAsia="Calibri" w:hAnsi="Times New Roman" w:cs="Times New Roman"/>
          <w:sz w:val="20"/>
          <w:szCs w:val="20"/>
        </w:rPr>
        <w:t>Τηλ</w:t>
      </w:r>
      <w:r>
        <w:rPr>
          <w:rFonts w:ascii="Times New Roman" w:eastAsia="Calibri" w:hAnsi="Times New Roman" w:cs="Times New Roman"/>
          <w:sz w:val="20"/>
          <w:szCs w:val="20"/>
          <w:lang w:val="en-US"/>
        </w:rPr>
        <w:t xml:space="preserve">.: </w:t>
      </w:r>
      <w:r>
        <w:rPr>
          <w:rFonts w:ascii="Times New Roman" w:eastAsia="Calibri" w:hAnsi="Times New Roman" w:cs="Times New Roman"/>
          <w:b/>
          <w:sz w:val="20"/>
          <w:szCs w:val="20"/>
          <w:lang w:val="en-US"/>
        </w:rPr>
        <w:t>6974881331</w:t>
      </w:r>
      <w:proofErr w:type="gramStart"/>
      <w:r>
        <w:rPr>
          <w:rFonts w:ascii="Times New Roman" w:eastAsia="Calibri" w:hAnsi="Times New Roman" w:cs="Times New Roman"/>
          <w:b/>
          <w:sz w:val="20"/>
          <w:szCs w:val="20"/>
          <w:lang w:val="en-US"/>
        </w:rPr>
        <w:t>,  6974055854</w:t>
      </w:r>
      <w:proofErr w:type="gramEnd"/>
      <w:r>
        <w:rPr>
          <w:rFonts w:ascii="Times New Roman" w:eastAsia="Calibri" w:hAnsi="Times New Roman" w:cs="Times New Roman"/>
          <w:b/>
          <w:sz w:val="20"/>
          <w:szCs w:val="20"/>
          <w:lang w:val="en-US"/>
        </w:rPr>
        <w:t xml:space="preserve">,  6972159109,  6972620039,  </w:t>
      </w:r>
      <w:r>
        <w:rPr>
          <w:rFonts w:ascii="Times New Roman" w:eastAsia="Calibri" w:hAnsi="Times New Roman" w:cs="Times New Roman"/>
          <w:sz w:val="20"/>
          <w:szCs w:val="20"/>
          <w:lang w:val="en-US"/>
        </w:rPr>
        <w:t xml:space="preserve">web site: </w:t>
      </w:r>
      <w:hyperlink r:id="rId6" w:history="1">
        <w:r>
          <w:rPr>
            <w:rFonts w:ascii="Times New Roman" w:eastAsia="Calibri" w:hAnsi="Times New Roman" w:cs="Times New Roman"/>
            <w:b/>
            <w:sz w:val="20"/>
            <w:szCs w:val="20"/>
            <w:lang w:val="en-US"/>
          </w:rPr>
          <w:t>www.eakp.gr</w:t>
        </w:r>
      </w:hyperlink>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email: </w:t>
      </w:r>
      <w:hyperlink r:id="rId7" w:history="1">
        <w:r>
          <w:rPr>
            <w:rFonts w:ascii="Times New Roman" w:eastAsia="Calibri" w:hAnsi="Times New Roman" w:cs="Times New Roman"/>
            <w:b/>
            <w:sz w:val="20"/>
            <w:szCs w:val="20"/>
            <w:lang w:val="en-US"/>
          </w:rPr>
          <w:t>info@eakp.gr</w:t>
        </w:r>
      </w:hyperlink>
    </w:p>
    <w:p>
      <w:pPr>
        <w:tabs>
          <w:tab w:val="left" w:pos="9214"/>
        </w:tabs>
        <w:spacing w:after="480"/>
        <w:jc w:val="center"/>
        <w:rPr>
          <w:b/>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4 Ιουνίου 2023</w:t>
      </w:r>
    </w:p>
    <w:p>
      <w:pPr>
        <w:spacing w:after="160"/>
        <w:jc w:val="center"/>
        <w:rPr>
          <w:rFonts w:ascii="Times New Roman" w:hAnsi="Times New Roman" w:cs="Times New Roman"/>
          <w:b/>
          <w:sz w:val="30"/>
          <w:szCs w:val="30"/>
          <w:u w:val="double"/>
        </w:rPr>
      </w:pPr>
      <w:r>
        <w:rPr>
          <w:rFonts w:ascii="Times New Roman" w:hAnsi="Times New Roman" w:cs="Times New Roman"/>
          <w:b/>
          <w:sz w:val="30"/>
          <w:szCs w:val="30"/>
          <w:u w:val="double"/>
        </w:rPr>
        <w:t>ΑΝΑΚΟΙΝΩΣΗ – ΔΕΛΤΙΟ ΤΥΠΟΥ</w:t>
      </w:r>
    </w:p>
    <w:p>
      <w:pPr>
        <w:spacing w:after="480"/>
        <w:jc w:val="center"/>
        <w:rPr>
          <w:rFonts w:ascii="Times New Roman" w:hAnsi="Times New Roman" w:cs="Times New Roman"/>
          <w:b/>
          <w:sz w:val="28"/>
          <w:szCs w:val="28"/>
        </w:rPr>
      </w:pPr>
      <w:r>
        <w:rPr>
          <w:rFonts w:ascii="Times New Roman" w:hAnsi="Times New Roman" w:cs="Times New Roman"/>
          <w:b/>
          <w:sz w:val="28"/>
          <w:szCs w:val="28"/>
        </w:rPr>
        <w:t>Για το νέο ξεσπίτωμα των πυροσβεστών</w:t>
      </w:r>
    </w:p>
    <w:p>
      <w:pPr>
        <w:rPr>
          <w:rFonts w:ascii="Times New Roman" w:hAnsi="Times New Roman" w:cs="Times New Roman"/>
          <w:sz w:val="24"/>
          <w:szCs w:val="24"/>
        </w:rPr>
      </w:pPr>
      <w:r>
        <w:rPr>
          <w:rFonts w:ascii="Times New Roman" w:hAnsi="Times New Roman" w:cs="Times New Roman"/>
          <w:sz w:val="24"/>
          <w:szCs w:val="24"/>
        </w:rPr>
        <w:t>Συνάδελφοι,</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Στις 29 Μαΐου 2023 κοινοποιήθηκε η υπ.αριθ 28979 Φ.202.1 απόφαση του Υπηρεσιακού Συμβουλίου μεταθέσεων Πυρονόμων, Υπαξιωματικών και Πυροσβεστών, όπως αναμένεται κάθε χρόνο αυτή την περίοδο. Παρατηρώντας την απόφαση μπορεί κανείς εύκολα να διαπιστώσει τη δικαίωση αρκετών από τις απόψεις που στο παρελθόν έχει επισημάνει 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υροσβεστών και το βάσιμο των καταγγελιών που έχουν γίνει με πλήθος προσφάτων αλλά και παλαιοτέρων ανακοινώσεων.</w:t>
      </w:r>
    </w:p>
    <w:p>
      <w:pPr>
        <w:ind w:firstLine="284"/>
        <w:jc w:val="both"/>
        <w:rPr>
          <w:rFonts w:ascii="Times New Roman" w:hAnsi="Times New Roman" w:cs="Times New Roman"/>
          <w:sz w:val="24"/>
          <w:szCs w:val="24"/>
        </w:rPr>
      </w:pPr>
      <w:r>
        <w:rPr>
          <w:rFonts w:ascii="Times New Roman" w:hAnsi="Times New Roman" w:cs="Times New Roman"/>
          <w:sz w:val="24"/>
          <w:szCs w:val="24"/>
        </w:rPr>
        <w:t>Αρχικά για άλλη μια χρονιά αποδεικνύεται ότι ο νόμος 4662/2020 της Ν.Δ. μεταξύ άλλων αποτελεί και φιρμάνι ξεσπιτώματος. Είναι χαρακτηριστικό το ακόλουθο διάγραμμα όπου από το 2020 και μετά ο ετήσιος αριθμός των τακτικά μετατιθέμενων πυροσβεστών αυξήθηκε κατά μέσο όρο περίπου 8,5 φορές!</w:t>
      </w:r>
    </w:p>
    <w:p>
      <w:pPr>
        <w:jc w:val="center"/>
      </w:pPr>
      <w:r>
        <w:rPr>
          <w:noProof/>
          <w:lang w:eastAsia="el-GR"/>
        </w:rPr>
        <w:drawing>
          <wp:inline distT="0" distB="0" distL="0" distR="0">
            <wp:extent cx="5850890" cy="2669540"/>
            <wp:effectExtent l="0" t="0" r="0" b="0"/>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before="240"/>
        <w:ind w:firstLine="284"/>
        <w:jc w:val="both"/>
        <w:rPr>
          <w:rFonts w:ascii="Times New Roman" w:hAnsi="Times New Roman" w:cs="Times New Roman"/>
          <w:sz w:val="24"/>
          <w:szCs w:val="24"/>
        </w:rPr>
      </w:pPr>
      <w:r>
        <w:rPr>
          <w:rFonts w:ascii="Times New Roman" w:hAnsi="Times New Roman" w:cs="Times New Roman"/>
          <w:sz w:val="24"/>
          <w:szCs w:val="24"/>
        </w:rPr>
        <w:t xml:space="preserve">Όπως διαπιστώνουμε από το σχετικό διάγραμμα από την πρώτη χρονιά εφαρμογής του νόμου 4662/2020 οι μεταθέσεις αυξήθηκαν κατά </w:t>
      </w:r>
      <w:bookmarkStart w:id="0" w:name="_GoBack"/>
      <w:r>
        <w:rPr>
          <w:rFonts w:ascii="Times New Roman" w:hAnsi="Times New Roman" w:cs="Times New Roman"/>
          <w:b/>
          <w:sz w:val="24"/>
          <w:szCs w:val="24"/>
        </w:rPr>
        <w:t>1.000%</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σε σχέση με το 2019 και από </w:t>
      </w:r>
      <w:r>
        <w:rPr>
          <w:rFonts w:ascii="Times New Roman" w:hAnsi="Times New Roman" w:cs="Times New Roman"/>
          <w:b/>
          <w:sz w:val="24"/>
          <w:szCs w:val="24"/>
        </w:rPr>
        <w:t>58</w:t>
      </w:r>
      <w:r>
        <w:rPr>
          <w:rFonts w:ascii="Times New Roman" w:hAnsi="Times New Roman" w:cs="Times New Roman"/>
          <w:sz w:val="24"/>
          <w:szCs w:val="24"/>
        </w:rPr>
        <w:t xml:space="preserve"> έφθασαν στις </w:t>
      </w:r>
      <w:r>
        <w:rPr>
          <w:rFonts w:ascii="Times New Roman" w:hAnsi="Times New Roman" w:cs="Times New Roman"/>
          <w:b/>
          <w:sz w:val="24"/>
          <w:szCs w:val="24"/>
        </w:rPr>
        <w:t>638</w:t>
      </w:r>
      <w:r>
        <w:rPr>
          <w:rFonts w:ascii="Times New Roman" w:hAnsi="Times New Roman" w:cs="Times New Roman"/>
          <w:sz w:val="24"/>
          <w:szCs w:val="24"/>
        </w:rPr>
        <w:t>!!!</w:t>
      </w:r>
    </w:p>
    <w:p>
      <w:pPr>
        <w:ind w:firstLine="284"/>
        <w:jc w:val="both"/>
        <w:rPr>
          <w:rFonts w:ascii="Times New Roman" w:hAnsi="Times New Roman" w:cs="Times New Roman"/>
          <w:sz w:val="24"/>
          <w:szCs w:val="24"/>
        </w:rPr>
      </w:pPr>
    </w:p>
    <w:p>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Θυμίζουμε για πολλοστή φορά ότι η Ε.Α.Κ.Π. ήταν και παραμένει η μοναδική δύναμη στο χώρο του Π.Σ.  που αντιπαλεύει το συγκεκριμένο νόμο από τη στιγμή που ακόμα βρισκόταν στο στάδιο της σύνταξής του ενώ όλοι οι υπόλοιποι κυβερνητικοί συνδικαλιστές κάνουν ακόμα λόγο για «ισότητα» στον νομαδικό τρόπο ζωής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από 11/1/2020 και 17/1/2020).</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Επιπλέον μόλις λίγους μήνες μετά τους καταστροφικούς σεισμούς στις γείτονες Συρία, Τουρκία και το σιδηροδρομικό έγκλημα στα Τέμπη οι ήδη σημαντικά υποστελεχωμένες Ε.Μ.Α.Κ. αποδυναμώνονται ακόμα περισσότερο. Η δύναμή τους μειώνεται σχεδόν κατά 5% αφού αποχωρούν υπάλληλοι οι οποίοι προς το παρόν δεν αντικαθίστανται, με ορισμένους εξ αυτών  να κατέχουν και συγκεκριμένες ειδικότητες. Μάλιστα η κίνηση αυτή αυξάνει και το μέσο όρο φυσικής ηλικίας των υπαλλήλων αφού σχεδόν όλοι οι μετατιθέμενοι ήταν σημαντικά νεότεροι. Πρόκειται για ένα ζήτημα που η Ε.Α.Κ.Π. επίσης είχε θίξει πριν μερικούς μήνες (βλ. </w:t>
      </w:r>
      <w:proofErr w:type="gramStart"/>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proofErr w:type="gramEnd"/>
      <w:r>
        <w:rPr>
          <w:rFonts w:ascii="Times New Roman" w:hAnsi="Times New Roman" w:cs="Times New Roman"/>
          <w:sz w:val="24"/>
          <w:szCs w:val="24"/>
        </w:rPr>
        <w:t xml:space="preserve"> από 20/2/2023).</w:t>
      </w:r>
    </w:p>
    <w:p>
      <w:pPr>
        <w:ind w:firstLine="284"/>
        <w:jc w:val="both"/>
        <w:rPr>
          <w:rFonts w:ascii="Times New Roman" w:hAnsi="Times New Roman" w:cs="Times New Roman"/>
          <w:sz w:val="24"/>
          <w:szCs w:val="24"/>
        </w:rPr>
      </w:pPr>
      <w:r>
        <w:rPr>
          <w:rFonts w:ascii="Times New Roman" w:hAnsi="Times New Roman" w:cs="Times New Roman"/>
          <w:sz w:val="24"/>
          <w:szCs w:val="24"/>
        </w:rPr>
        <w:t>Ωστόσο το πιο σημαντικό παραμένει το στεγαστικό πρόβλημα από την οικονομική σκοπιά. Εύκολα στη λίστα των μετατιθεμένων παρατηρεί κανείς μια «αλλαγή φρουράς» στη νησιωτική Ελλάδα. Στη «βαριά βιομηχανία» της χώρας οι εργαζόμενοι υφίστανται βαριά εκμετάλλευση και δίπλα σε αυτούς και το Πυροσβεστικό προσωπικό αφού όλοι μαζί είτε δε θα βρούνε ποτέ ένα αξιοπρεπές κατάλυμα για να μείνουν είτε θα πρέπει να δώσουν για το ενοίκιο πάνω από το 50% του εισοδήματός τους. Τακτικές όπως η πρόσφατη διυπουργική απόφαση 43802/17-5-2023 (ΦΕΚ Β’ 3274) ούτε στο ελάχιστο δεν μπορούν να αντιμετωπίσουν το πρόβλημα αφού πρόκειται για άλλη μια κίνηση επιδοματικού χαρακτήρα. Στην ουσία απλώς υφαρπάζει τα χρήματα του φορολογούμενου λαού και τα δίνει έμμεσα στους ιδιώτες με τη μορφή επιχορήγησης όπως όλα αυτά τα «</w:t>
      </w:r>
      <w:r>
        <w:rPr>
          <w:rFonts w:ascii="Times New Roman" w:hAnsi="Times New Roman" w:cs="Times New Roman"/>
          <w:sz w:val="24"/>
          <w:szCs w:val="24"/>
          <w:lang w:val="en-US"/>
        </w:rPr>
        <w:t>pass</w:t>
      </w:r>
      <w:r>
        <w:rPr>
          <w:rFonts w:ascii="Times New Roman" w:hAnsi="Times New Roman" w:cs="Times New Roman"/>
          <w:sz w:val="24"/>
          <w:szCs w:val="24"/>
        </w:rPr>
        <w:t xml:space="preserve">» που η κυβέρνηση της ΝΔ έχει εφεύρει για να διαχειριστεί τη φτώχεια που μαζί με όλες τις προηγούμενες κυβερνήσεις έχει επιβάλλει. Μοναδική διέξοδος για τους πυροσβέστες και σε αυτόν τον τομέα είναι η πάλη μαζί με την ΕΑΚΠ όπως απέδειξε ο νικηφόρος αγώνας των συναδέλφων στο αεροδρόμιο Σαντορίνης στο πρόσφατο παρελθόν (βλ. </w:t>
      </w:r>
      <w:proofErr w:type="gramStart"/>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proofErr w:type="gramEnd"/>
      <w:r>
        <w:rPr>
          <w:rFonts w:ascii="Times New Roman" w:hAnsi="Times New Roman" w:cs="Times New Roman"/>
          <w:sz w:val="24"/>
          <w:szCs w:val="24"/>
        </w:rPr>
        <w:t xml:space="preserve"> από 18/11/2019).</w:t>
      </w:r>
    </w:p>
    <w:p>
      <w:pPr>
        <w:ind w:firstLine="284"/>
        <w:jc w:val="both"/>
        <w:rPr>
          <w:rFonts w:ascii="Times New Roman" w:hAnsi="Times New Roman" w:cs="Times New Roman"/>
          <w:sz w:val="24"/>
          <w:szCs w:val="24"/>
        </w:rPr>
      </w:pPr>
      <w:r>
        <w:rPr>
          <w:rFonts w:ascii="Times New Roman" w:hAnsi="Times New Roman" w:cs="Times New Roman"/>
          <w:sz w:val="24"/>
          <w:szCs w:val="24"/>
        </w:rPr>
        <w:t>Πέρα όμως από το ζοφερό της γενικής εικόνας φαίνεται να υπάρχουν και πιο συγκεκριμένα προβλήματα αφού υπάλληλοι που δικαιούνται αμετάθετο, ακόμα και με αυτόν τον αντιδραστικό νόμο, φαίνεται να τυγχάνουν μετάθεσης.</w:t>
      </w:r>
    </w:p>
    <w:p>
      <w:pPr>
        <w:ind w:firstLine="284"/>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έχει καταθέσει στην φυσική και πολιτική ηγεσία του Π.Σ. καθώς και στην Π.Ο.Ε.Υ.Π.Σ. και τις πρωτοβάθμιες Ενώσεις των πυροσβεστών, ολοκληρωμένη πρόταση με την μορφή Προεδρικού Διατάγματος για τον Κανονισμό Μεταθέσεων.</w:t>
      </w:r>
    </w:p>
    <w:p>
      <w:pPr>
        <w:ind w:firstLine="284"/>
        <w:jc w:val="both"/>
        <w:rPr>
          <w:rFonts w:ascii="Times New Roman" w:hAnsi="Times New Roman" w:cs="Times New Roman"/>
          <w:sz w:val="24"/>
          <w:szCs w:val="24"/>
        </w:rPr>
      </w:pPr>
      <w:r>
        <w:rPr>
          <w:rFonts w:ascii="Times New Roman" w:hAnsi="Times New Roman" w:cs="Times New Roman"/>
          <w:sz w:val="24"/>
          <w:szCs w:val="24"/>
        </w:rPr>
        <w:t>Για να σταματήσει το ξεσπίτωμα των συναδέλφων και να σταματήσουν τα σοβαρά προβλήματα που δημιουργούνται στους πυροσβέστες (οικονομικά, οικογενειακά κ.α.) η Ε.Α.Κ.Π. ζητά μέσα από την πρότασή της όλοι οι πυροσβέστες να υπηρετούν στην πόλη συμφερόντων τους και να γίνονται προσλήψεις κατά τόπους. Όσοι συνάδελφοι υπηρετούν εκτός πόλης συμφερόντων τους, να επιστρέψουν σε αυτές υπηρετώντας ως υπεράριθμοι, εφόσον δεν υπάρχουν κενά και όταν δημιουργηθούν τα κενά αυτά να καταλαμβάνουν οργανική θέση. Στις υπηρεσίες από τις οποίες θα μετατεθούν οι υπάλληλοι αυτοί να καλύπτονται τα κενά που θα δημιουργηθούν με κατά τόπους προσλήψεις.</w:t>
      </w:r>
    </w:p>
    <w:p>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Η πρόταση αυτή αντιμετωπίζει πλήρως, τις ανάγκες των εργαζομένων του Π.Σ. και τις ανάγκες λειτουργίας της υπηρεσίας και είναι αναρτημένη στην ιστοσελίδα της Ε.Α.Κ.Π.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Δυστυχώς με ευθύνη των κυβερνήσεων αλλά κυρίως με ευθύνη των προεδρείων της Π.Ο.Ε.Υ.Π.Σ. καθώς και όλων των Ενώσεων η πρόταση της Ε.Α.Κ.Π. απορρίπτεται συστηματικά όσες φορές και αν έχει κατατεθεί από τα εκλεγμένα στελέχη της παράταξης σε συνέδρια της Ομοσπονδίας αλλά και σε Διοικητικά Συμβούλια Ενώσεων! Αυτοί είναι που στήριξαν και έβαλαν πλάτη για να ψηφιστεί ο νόμος 4662/2020 που περιλαμβάνει εκτός των άλλων και τον νέο Κανονισμό Μεταθέσεων. Αυτοί είναι που με την συνειδητή υπονομευτική στάση τους απέναντι στα δικαιώματά μας, μαυρίζουν την υπηρεσιακή και οικογενειακή μας ζωή!   </w:t>
      </w:r>
    </w:p>
    <w:p>
      <w:pPr>
        <w:spacing w:after="240"/>
        <w:ind w:firstLine="284"/>
        <w:jc w:val="both"/>
        <w:rPr>
          <w:rFonts w:ascii="Times New Roman" w:hAnsi="Times New Roman" w:cs="Times New Roman"/>
          <w:sz w:val="24"/>
          <w:szCs w:val="24"/>
        </w:rPr>
      </w:pPr>
      <w:r>
        <w:rPr>
          <w:rFonts w:ascii="Times New Roman" w:hAnsi="Times New Roman" w:cs="Times New Roman"/>
          <w:sz w:val="24"/>
          <w:szCs w:val="24"/>
        </w:rPr>
        <w:t>Η Ε.Α.Κ.Π. θα καταθέσει ξανά την πρότασή της για τον Κανονισμό Μεταθέσεων και στο επικείμενο συνέδριο της Ομοσπονδίας μας που θα πραγματοποιηθεί στην Αθήνα στις 21 και 22 Ιουνίου και θα ζητήσει την υπερψήφισή της από τους συνέδρους και την υιοθέτησή της από το Δ.Σ. της Ομοσπονδίας ως αίτημα άμεσης διεκδίκησης.</w:t>
      </w:r>
    </w:p>
    <w:p>
      <w:pPr>
        <w:ind w:firstLine="284"/>
        <w:jc w:val="both"/>
        <w:rPr>
          <w:rFonts w:ascii="Times New Roman" w:hAnsi="Times New Roman" w:cs="Times New Roman"/>
          <w:sz w:val="24"/>
          <w:szCs w:val="24"/>
        </w:rPr>
      </w:pPr>
      <w:r>
        <w:rPr>
          <w:rFonts w:ascii="Times New Roman" w:hAnsi="Times New Roman" w:cs="Times New Roman"/>
          <w:sz w:val="24"/>
          <w:szCs w:val="24"/>
        </w:rPr>
        <w:t>Συνάδελφοι,</w:t>
      </w:r>
    </w:p>
    <w:p>
      <w:pPr>
        <w:spacing w:after="480"/>
        <w:ind w:firstLine="284"/>
        <w:jc w:val="both"/>
        <w:rPr>
          <w:rFonts w:ascii="Times New Roman" w:hAnsi="Times New Roman" w:cs="Times New Roman"/>
          <w:sz w:val="24"/>
          <w:szCs w:val="24"/>
        </w:rPr>
      </w:pPr>
      <w:r>
        <w:rPr>
          <w:rFonts w:ascii="Times New Roman" w:hAnsi="Times New Roman" w:cs="Times New Roman"/>
          <w:sz w:val="24"/>
          <w:szCs w:val="24"/>
        </w:rPr>
        <w:t xml:space="preserve">Όσα δικαιώματα κερδίσαμε ως εργαζόμενοι δεν μας χαρίστηκαν ούτε κερδήθηκαν σουλατσάροντας σε υπουργικούς διαδρόμους. Κερδήθηκαν με σκληρούς αγώνες! Οι κυβερνητικοί συνδικαλιστές που διοικούν την Ομοσπονδία και τα περισσότερα Δ.Σ. των Ενώσεών μας φέρουν ακέραια την ευθύνη για την σημερινή κατάσταση που αντιμετωπίζουμε. Σας καλούμε να σκεφτείτε και να βγάλετε συμπεράσματα. Να απομονώσετε όλους τους παραπάνω που βάζουν εμπόδια και μαυρίζουν τις ζωές μας και να συμπορευτείτε με την Ε.Α.Κ.Π. και το πλαίσιο αιτημάτων της που περιλαμβάνει και την πρότασή της για τον Κ.Μ.. Να οργανώσουμε την πάλη μας για καλύτερες συνθήκες εργασίας και μια καλύτερη ζωή σύμφωνα με τις ανάγκες μας!   </w:t>
      </w:r>
    </w:p>
    <w:p>
      <w:pPr>
        <w:jc w:val="center"/>
        <w:rPr>
          <w:rFonts w:ascii="Times New Roman" w:hAnsi="Times New Roman" w:cs="Times New Roman"/>
          <w:color w:val="0070C0"/>
          <w:spacing w:val="24"/>
          <w:sz w:val="24"/>
          <w:szCs w:val="24"/>
        </w:rPr>
      </w:pPr>
      <w:r>
        <w:rPr>
          <w:rFonts w:ascii="Times New Roman" w:eastAsia="Calibri" w:hAnsi="Times New Roman" w:cs="Times New Roman"/>
          <w:b/>
          <w:spacing w:val="24"/>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276" w:right="1416" w:bottom="141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Char"/>
    <w:uiPriority w:val="99"/>
    <w:semiHidden/>
    <w:unhideWhenUse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Pr>
      <w:rFonts w:ascii="Tahoma" w:hAnsi="Tahoma" w:cs="Tahoma"/>
      <w:sz w:val="16"/>
      <w:szCs w:val="16"/>
    </w:rPr>
  </w:style>
  <w:style w:type="paragraph" w:styleId="a4">
    <w:name w:val="header"/>
    <w:basedOn w:val="a"/>
    <w:link w:val="Char0"/>
    <w:uiPriority w:val="99"/>
    <w:semiHidden/>
    <w:unhideWhenUsed/>
    <w:pPr>
      <w:tabs>
        <w:tab w:val="center" w:pos="4153"/>
        <w:tab w:val="right" w:pos="8306"/>
      </w:tabs>
      <w:spacing w:after="0" w:line="240" w:lineRule="auto"/>
    </w:pPr>
  </w:style>
  <w:style w:type="character" w:customStyle="1" w:styleId="Char0">
    <w:name w:val="Κεφαλίδα Char"/>
    <w:basedOn w:val="a0"/>
    <w:link w:val="a4"/>
    <w:uiPriority w:val="99"/>
    <w:semiHidden/>
  </w:style>
  <w:style w:type="paragraph" w:styleId="a5">
    <w:name w:val="footer"/>
    <w:basedOn w:val="a"/>
    <w:link w:val="Char1"/>
    <w:uiPriority w:val="99"/>
    <w:semiHidden/>
    <w:unhideWhenUsed/>
    <w:pPr>
      <w:tabs>
        <w:tab w:val="center" w:pos="4153"/>
        <w:tab w:val="right" w:pos="8306"/>
      </w:tabs>
      <w:spacing w:after="0" w:line="240" w:lineRule="auto"/>
    </w:pPr>
  </w:style>
  <w:style w:type="character" w:customStyle="1" w:styleId="Char1">
    <w:name w:val="Υποσέλιδο Char"/>
    <w:basedOn w:val="a0"/>
    <w:link w:val="a5"/>
    <w:uiPriority w:val="99"/>
    <w:semiHidden/>
  </w:style>
  <w:style w:type="table" w:styleId="a6">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93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914;&#953;&#946;&#955;&#943;&#959;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l-GR" b="1" baseline="0">
                <a:solidFill>
                  <a:sysClr val="windowText" lastClr="000000"/>
                </a:solidFill>
                <a:latin typeface="Times New Roman" panose="02020603050405020304" pitchFamily="18" charset="0"/>
                <a:cs typeface="Times New Roman" panose="02020603050405020304" pitchFamily="18" charset="0"/>
              </a:rPr>
              <a:t>Μετατιθέμενοι ανά έτος</a:t>
            </a:r>
          </a:p>
        </c:rich>
      </c:tx>
      <c:layout>
        <c:manualLayout>
          <c:xMode val="edge"/>
          <c:yMode val="edge"/>
          <c:x val="0.34204471456479274"/>
          <c:y val="2.8544243577545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l-GR"/>
        </a:p>
      </c:txPr>
    </c:title>
    <c:autoTitleDeleted val="0"/>
    <c:plotArea>
      <c:layout/>
      <c:barChart>
        <c:barDir val="col"/>
        <c:grouping val="clustered"/>
        <c:varyColors val="0"/>
        <c:ser>
          <c:idx val="1"/>
          <c:order val="0"/>
          <c:tx>
            <c:v>Μετατιθέμενοι</c:v>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Φύλλο1!$A$1:$A$11</c:f>
              <c:numCache>
                <c:formatCode>@</c:formatCode>
                <c:ptCount val="11"/>
                <c:pt idx="0">
                  <c:v>2013</c:v>
                </c:pt>
                <c:pt idx="1">
                  <c:v>2014</c:v>
                </c:pt>
                <c:pt idx="2">
                  <c:v>2015</c:v>
                </c:pt>
                <c:pt idx="3">
                  <c:v>2016</c:v>
                </c:pt>
                <c:pt idx="4">
                  <c:v>2017</c:v>
                </c:pt>
                <c:pt idx="5">
                  <c:v>2018</c:v>
                </c:pt>
                <c:pt idx="6">
                  <c:v>2019</c:v>
                </c:pt>
                <c:pt idx="7">
                  <c:v>2020</c:v>
                </c:pt>
                <c:pt idx="8">
                  <c:v>2021</c:v>
                </c:pt>
                <c:pt idx="9">
                  <c:v>2022</c:v>
                </c:pt>
                <c:pt idx="10">
                  <c:v>2023</c:v>
                </c:pt>
              </c:numCache>
            </c:numRef>
          </c:cat>
          <c:val>
            <c:numRef>
              <c:f>Φύλλο1!$B$1:$B$11</c:f>
              <c:numCache>
                <c:formatCode>General</c:formatCode>
                <c:ptCount val="11"/>
                <c:pt idx="0">
                  <c:v>7</c:v>
                </c:pt>
                <c:pt idx="1">
                  <c:v>5</c:v>
                </c:pt>
                <c:pt idx="2">
                  <c:v>208</c:v>
                </c:pt>
                <c:pt idx="3">
                  <c:v>62</c:v>
                </c:pt>
                <c:pt idx="4">
                  <c:v>42</c:v>
                </c:pt>
                <c:pt idx="5">
                  <c:v>10</c:v>
                </c:pt>
                <c:pt idx="6">
                  <c:v>58</c:v>
                </c:pt>
                <c:pt idx="7">
                  <c:v>638</c:v>
                </c:pt>
                <c:pt idx="8">
                  <c:v>356</c:v>
                </c:pt>
                <c:pt idx="9">
                  <c:v>503</c:v>
                </c:pt>
                <c:pt idx="10">
                  <c:v>465</c:v>
                </c:pt>
              </c:numCache>
            </c:numRef>
          </c:val>
        </c:ser>
        <c:dLbls>
          <c:showLegendKey val="0"/>
          <c:showVal val="0"/>
          <c:showCatName val="0"/>
          <c:showSerName val="0"/>
          <c:showPercent val="0"/>
          <c:showBubbleSize val="0"/>
        </c:dLbls>
        <c:gapWidth val="100"/>
        <c:overlap val="-27"/>
        <c:axId val="231155440"/>
        <c:axId val="231160536"/>
      </c:barChart>
      <c:catAx>
        <c:axId val="231155440"/>
        <c:scaling>
          <c:orientation val="minMax"/>
        </c:scaling>
        <c:delete val="0"/>
        <c:axPos val="b"/>
        <c:numFmt formatCode="@"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l-GR"/>
          </a:p>
        </c:txPr>
        <c:crossAx val="231160536"/>
        <c:crosses val="autoZero"/>
        <c:auto val="1"/>
        <c:lblAlgn val="ctr"/>
        <c:lblOffset val="100"/>
        <c:noMultiLvlLbl val="0"/>
      </c:catAx>
      <c:valAx>
        <c:axId val="231160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l-GR"/>
          </a:p>
        </c:txPr>
        <c:crossAx val="23115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5466</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2023-05-31T09:40:00Z</dcterms:created>
  <dcterms:modified xsi:type="dcterms:W3CDTF">2023-06-04T17:41:00Z</dcterms:modified>
</cp:coreProperties>
</file>