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6996" w:type="dxa"/>
        <w:jc w:val="right"/>
        <w:tblInd w:w="0" w:type="dxa"/>
        <w:tblLayout w:type="fixed"/>
        <w:tblCellMar>
          <w:top w:w="0" w:type="dxa"/>
          <w:left w:w="108" w:type="dxa"/>
          <w:bottom w:w="0" w:type="dxa"/>
          <w:right w:w="108" w:type="dxa"/>
        </w:tblCellMar>
        <w:tblLook w:val="0000"/>
      </w:tblPr>
      <w:tblGrid>
        <w:gridCol w:w="1949"/>
        <w:gridCol w:w="5046"/>
      </w:tblGrid>
      <w:tr>
        <w:trPr>
          <w:cantSplit w:val="true"/>
        </w:trPr>
        <w:tc>
          <w:tcPr>
            <w:tcW w:w="1949" w:type="dxa"/>
            <w:tcBorders/>
            <w:shd w:fill="auto" w:val="clear"/>
            <w:vAlign w:val="center"/>
          </w:tcPr>
          <w:p>
            <w:pPr>
              <w:pStyle w:val="Normal1"/>
              <w:widowControl w:val="false"/>
              <w:jc w:val="left"/>
              <w:rPr>
                <w:position w:val="0"/>
                <w:sz w:val="4"/>
                <w:sz w:val="4"/>
                <w:szCs w:val="4"/>
                <w:vertAlign w:val="baseline"/>
              </w:rPr>
            </w:pPr>
            <w:r>
              <w:rPr>
                <w:position w:val="0"/>
                <w:sz w:val="4"/>
                <w:sz w:val="4"/>
                <w:szCs w:val="4"/>
                <w:vertAlign w:val="baseline"/>
              </w:rPr>
            </w:r>
          </w:p>
          <w:p>
            <w:pPr>
              <w:pStyle w:val="Normal1"/>
              <w:widowControl w:val="false"/>
              <w:jc w:val="left"/>
              <w:rPr>
                <w:b/>
                <w:b/>
                <w:position w:val="0"/>
                <w:sz w:val="10"/>
                <w:sz w:val="10"/>
                <w:szCs w:val="10"/>
                <w:vertAlign w:val="baseline"/>
              </w:rPr>
            </w:pPr>
            <w:r>
              <w:rPr/>
              <w:drawing>
                <wp:inline distT="0" distB="0" distL="0" distR="0">
                  <wp:extent cx="1104900" cy="8445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104900" cy="844550"/>
                          </a:xfrm>
                          <a:prstGeom prst="rect">
                            <a:avLst/>
                          </a:prstGeom>
                        </pic:spPr>
                      </pic:pic>
                    </a:graphicData>
                  </a:graphic>
                </wp:inline>
              </w:drawing>
            </w:r>
          </w:p>
        </w:tc>
        <w:tc>
          <w:tcPr>
            <w:tcW w:w="5046" w:type="dxa"/>
            <w:tcBorders/>
            <w:shd w:fill="auto" w:val="clear"/>
            <w:vAlign w:val="center"/>
          </w:tcPr>
          <w:p>
            <w:pPr>
              <w:pStyle w:val="Normal1"/>
              <w:widowControl w:val="false"/>
              <w:jc w:val="left"/>
              <w:rPr>
                <w:b/>
                <w:b/>
                <w:position w:val="0"/>
                <w:sz w:val="10"/>
                <w:sz w:val="10"/>
                <w:szCs w:val="10"/>
                <w:vertAlign w:val="baseline"/>
              </w:rPr>
            </w:pPr>
            <w:r>
              <w:rPr>
                <w:b/>
                <w:position w:val="0"/>
                <w:sz w:val="10"/>
                <w:sz w:val="10"/>
                <w:szCs w:val="10"/>
                <w:vertAlign w:val="baseline"/>
              </w:rPr>
            </w:r>
          </w:p>
          <w:p>
            <w:pPr>
              <w:pStyle w:val="Normal1"/>
              <w:keepNext w:val="true"/>
              <w:keepLines w:val="false"/>
              <w:widowControl w:val="false"/>
              <w:numPr>
                <w:ilvl w:val="2"/>
                <w:numId w:val="1"/>
              </w:numPr>
              <w:pBdr/>
              <w:shd w:val="clear" w:fill="auto"/>
              <w:tabs>
                <w:tab w:val="clear" w:pos="720"/>
                <w:tab w:val="left" w:pos="397"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sz w:val="44"/>
                <w:szCs w:val="44"/>
                <w:u w:val="none"/>
                <w:shd w:fill="auto" w:val="clear"/>
              </w:rPr>
            </w:pPr>
            <w:r>
              <w:rPr>
                <w:rFonts w:eastAsia="Arial" w:cs="Arial"/>
                <w:b/>
                <w:i w:val="false"/>
                <w:caps w:val="false"/>
                <w:smallCaps w:val="false"/>
                <w:strike w:val="false"/>
                <w:dstrike w:val="false"/>
                <w:color w:val="000000"/>
                <w:position w:val="0"/>
                <w:sz w:val="36"/>
                <w:sz w:val="36"/>
                <w:szCs w:val="36"/>
                <w:u w:val="none"/>
                <w:shd w:fill="auto" w:val="clear"/>
                <w:vertAlign w:val="baseline"/>
              </w:rPr>
              <w:t>Κοινοβουλευτική Ομάδα</w:t>
            </w:r>
          </w:p>
          <w:p>
            <w:pPr>
              <w:pStyle w:val="Normal1"/>
              <w:widowControl w:val="false"/>
              <w:jc w:val="left"/>
              <w:rPr>
                <w:position w:val="0"/>
                <w:sz w:val="24"/>
                <w:vertAlign w:val="baseline"/>
              </w:rPr>
            </w:pPr>
            <w:r>
              <w:rPr>
                <w:position w:val="0"/>
                <w:sz w:val="22"/>
                <w:sz w:val="22"/>
                <w:szCs w:val="22"/>
                <w:vertAlign w:val="baseline"/>
              </w:rPr>
              <w:t xml:space="preserve">Λεωφ. Ηρακλείου 145, 14231 ΝΕΑ ΙΩΝΙΑ, </w:t>
            </w:r>
          </w:p>
          <w:p>
            <w:pPr>
              <w:pStyle w:val="Normal1"/>
              <w:widowControl w:val="false"/>
              <w:jc w:val="left"/>
              <w:rPr>
                <w:position w:val="0"/>
                <w:sz w:val="24"/>
                <w:vertAlign w:val="baseline"/>
              </w:rPr>
            </w:pPr>
            <w:r>
              <w:rPr>
                <w:position w:val="0"/>
                <w:sz w:val="16"/>
                <w:sz w:val="16"/>
                <w:szCs w:val="16"/>
                <w:vertAlign w:val="baseline"/>
              </w:rPr>
              <w:t>τηλ.: 2102592213, 2102592105, 2102592258, fax: 2102592097</w:t>
            </w:r>
          </w:p>
          <w:p>
            <w:pPr>
              <w:pStyle w:val="Normal1"/>
              <w:widowControl w:val="false"/>
              <w:jc w:val="left"/>
              <w:rPr>
                <w:position w:val="0"/>
                <w:sz w:val="24"/>
                <w:vertAlign w:val="baseline"/>
              </w:rPr>
            </w:pPr>
            <w:r>
              <w:rPr>
                <w:position w:val="0"/>
                <w:sz w:val="16"/>
                <w:sz w:val="16"/>
                <w:szCs w:val="16"/>
                <w:vertAlign w:val="baseline"/>
              </w:rPr>
              <w:t>e-mail: ko@vouli.kke.gr, http://www.kke.gr</w:t>
            </w:r>
          </w:p>
          <w:p>
            <w:pPr>
              <w:pStyle w:val="Normal1"/>
              <w:widowControl w:val="false"/>
              <w:jc w:val="left"/>
              <w:rPr>
                <w:position w:val="0"/>
                <w:sz w:val="24"/>
                <w:vertAlign w:val="baseline"/>
              </w:rPr>
            </w:pPr>
            <w:r>
              <w:rPr>
                <w:position w:val="0"/>
                <w:sz w:val="16"/>
                <w:sz w:val="16"/>
                <w:szCs w:val="16"/>
                <w:vertAlign w:val="baseline"/>
              </w:rPr>
              <w:t>Γραφεία Βουλής: 2103708168, 2103708169, fax: 2103707410</w:t>
            </w:r>
          </w:p>
        </w:tc>
      </w:tr>
      <w:tr>
        <w:trPr>
          <w:trHeight w:val="28" w:hRule="atLeast"/>
          <w:cantSplit w:val="true"/>
        </w:trPr>
        <w:tc>
          <w:tcPr>
            <w:tcW w:w="1949" w:type="dxa"/>
            <w:tcBorders/>
            <w:shd w:fill="auto" w:val="clear"/>
          </w:tcPr>
          <w:p>
            <w:pPr>
              <w:pStyle w:val="Normal1"/>
              <w:widowControl w:val="false"/>
              <w:jc w:val="left"/>
              <w:rPr>
                <w:position w:val="0"/>
                <w:sz w:val="4"/>
                <w:sz w:val="4"/>
                <w:szCs w:val="4"/>
                <w:vertAlign w:val="baseline"/>
              </w:rPr>
            </w:pPr>
            <w:r>
              <w:rPr>
                <w:position w:val="0"/>
                <w:sz w:val="4"/>
                <w:sz w:val="4"/>
                <w:szCs w:val="4"/>
                <w:vertAlign w:val="baseline"/>
              </w:rPr>
            </w:r>
          </w:p>
        </w:tc>
        <w:tc>
          <w:tcPr>
            <w:tcW w:w="5046" w:type="dxa"/>
            <w:tcBorders/>
            <w:shd w:fill="auto" w:val="clear"/>
            <w:vAlign w:val="center"/>
          </w:tcPr>
          <w:p>
            <w:pPr>
              <w:pStyle w:val="Normal1"/>
              <w:widowControl w:val="false"/>
              <w:jc w:val="left"/>
              <w:rPr>
                <w:b/>
                <w:b/>
                <w:position w:val="0"/>
                <w:sz w:val="10"/>
                <w:sz w:val="10"/>
                <w:szCs w:val="10"/>
                <w:vertAlign w:val="baseline"/>
              </w:rPr>
            </w:pPr>
            <w:r>
              <w:rPr>
                <w:b/>
                <w:position w:val="0"/>
                <w:sz w:val="10"/>
                <w:sz w:val="10"/>
                <w:szCs w:val="10"/>
                <w:vertAlign w:val="baseline"/>
              </w:rPr>
            </w:r>
          </w:p>
        </w:tc>
      </w:tr>
    </w:tbl>
    <w:p>
      <w:pPr>
        <w:pStyle w:val="Normal1"/>
        <w:tabs>
          <w:tab w:val="clear" w:pos="720"/>
          <w:tab w:val="left" w:pos="340" w:leader="none"/>
        </w:tabs>
        <w:spacing w:lineRule="auto" w:line="240" w:before="0" w:after="0"/>
        <w:jc w:val="center"/>
        <w:rPr>
          <w:position w:val="0"/>
          <w:sz w:val="24"/>
          <w:vertAlign w:val="baseline"/>
        </w:rPr>
      </w:pPr>
      <w:r>
        <w:rPr>
          <w:b/>
          <w:position w:val="0"/>
          <w:sz w:val="24"/>
          <w:vertAlign w:val="baseline"/>
        </w:rPr>
        <w:t>ΕΡΩΤΗΣΗ</w:t>
      </w:r>
    </w:p>
    <w:p>
      <w:pPr>
        <w:pStyle w:val="Normal1"/>
        <w:keepNext w:val="false"/>
        <w:keepLines w:val="false"/>
        <w:pageBreakBefore w:val="false"/>
        <w:widowControl/>
        <w:pBdr/>
        <w:shd w:val="clear" w:fill="auto"/>
        <w:spacing w:lineRule="auto" w:line="288" w:before="0" w:after="14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none"/>
          <w:shd w:fill="auto" w:val="clear"/>
          <w:vertAlign w:val="baseline"/>
        </w:rPr>
        <w:t>Προς τον Υπουργό Κλιματικής Κρίσης και Πολιτικής Προστασίας</w:t>
      </w:r>
    </w:p>
    <w:p>
      <w:pPr>
        <w:pStyle w:val="Normal1"/>
        <w:keepNext w:val="false"/>
        <w:keepLines w:val="false"/>
        <w:pageBreakBefore w:val="false"/>
        <w:widowControl/>
        <w:pBdr/>
        <w:shd w:val="clear" w:fill="auto"/>
        <w:spacing w:lineRule="auto" w:line="288"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Θέμα: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Απαράδεκτες οι συνθήκες στο Πυροσβεστικό Κλιμάκιο Πλωμαρίου - άμεση μετεγκατάσταση</w:t>
      </w:r>
    </w:p>
    <w:p>
      <w:pPr>
        <w:pStyle w:val="Normal1"/>
        <w:keepNext w:val="false"/>
        <w:keepLines w:val="false"/>
        <w:pageBreakBefore w:val="false"/>
        <w:widowControl/>
        <w:pBdr/>
        <w:shd w:val="clear" w:fill="auto"/>
        <w:spacing w:lineRule="auto" w:line="276" w:before="0" w:after="57"/>
        <w:ind w:left="0" w:right="0" w:firstLine="227"/>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Το Κομμουνιστικό Κόμμα Ελλάδας έχει αναδείξει αρκετές φορές τα σοβαρά προβλήματα που υπάρχουν στο Πυροσβεστικό Κλιμάκιο Πλωμαρίου. Μάλιστα σε περιοδεία βουλευτή του ΚΚΕ τον Αύγουστο 2020 είχε επισημανθεί η απαράδεκτη κτιριακή υποδομή που στεγάζεται το Κλιμάκιο της πυροσβεστικής υπηρεσίας στο Πλωμάρι και την ανάγκη άμεσα να βρεθεί λύση για την μεταστέγασή του.</w:t>
      </w:r>
    </w:p>
    <w:p>
      <w:pPr>
        <w:pStyle w:val="Normal1"/>
        <w:keepNext w:val="false"/>
        <w:keepLines w:val="false"/>
        <w:pageBreakBefore w:val="false"/>
        <w:widowControl/>
        <w:pBdr/>
        <w:shd w:val="clear" w:fill="auto"/>
        <w:spacing w:lineRule="auto" w:line="276" w:before="0" w:after="57"/>
        <w:ind w:left="0" w:right="0" w:firstLine="227"/>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Σήμερα η κατάσταση στο Κλιμάκιο έχει επιδεινωθεί παραπέρα και το κτήριο παρουσιάζει προβλήματα στην τοιχοποιία του, αλλά και στην ταράτσα του. Η μικρή απόσταση από τη θάλασσα συμβάλλει στην έντονη διάβρωση του κτηρίου. Το προσωπικό είναι ιδιαίτερα ανήσυχο λόγω και της έντονης σεισμικότητας της περιοχής, σε συνδυασμό με τα προβλήματα που παρουσιάζει το κτήριο.</w:t>
      </w:r>
    </w:p>
    <w:p>
      <w:pPr>
        <w:pStyle w:val="Normal1"/>
        <w:keepNext w:val="false"/>
        <w:keepLines w:val="false"/>
        <w:pageBreakBefore w:val="false"/>
        <w:widowControl/>
        <w:pBdr/>
        <w:shd w:val="clear" w:fill="auto"/>
        <w:spacing w:lineRule="auto" w:line="276" w:before="0" w:after="57"/>
        <w:ind w:left="0" w:right="0" w:firstLine="227"/>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Το Κλιμάκιο στελεχώνεται από άνδρες και γυναίκες, ωστόσο υπάρχει ένας κοινός κοιτώνας για το προσωπικό. Γενικότερα οι συνθήκες διαμονής του προσωπικού στο Κλιμάκιο είναι απαράδεκτες. </w:t>
      </w:r>
    </w:p>
    <w:p>
      <w:pPr>
        <w:pStyle w:val="Normal1"/>
        <w:keepNext w:val="false"/>
        <w:keepLines w:val="false"/>
        <w:pageBreakBefore w:val="false"/>
        <w:widowControl/>
        <w:pBdr/>
        <w:shd w:val="clear" w:fill="auto"/>
        <w:tabs>
          <w:tab w:val="clear" w:pos="720"/>
          <w:tab w:val="left" w:pos="340" w:leader="none"/>
        </w:tabs>
        <w:spacing w:lineRule="auto" w:line="276" w:before="0" w:after="57"/>
        <w:ind w:left="0" w:right="0" w:firstLine="227"/>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none"/>
          <w:shd w:fill="auto" w:val="clear"/>
          <w:vertAlign w:val="baseline"/>
        </w:rPr>
        <w:t>ΕΡΩΤΑΤΑΙ ο κ. Υπουργός,</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τι μέτρα θα πάρει η κυβέρνηση για την μετεγκατάσταση του Πυροσβεστικού Κλιμακίου στο Πλωμάρι σε κτήριο που να διασφαλίζει αξιοπρεπείς συνθήκες διαβίωσης για το προσωπικό της Πυροσβεστικής;</w:t>
      </w:r>
    </w:p>
    <w:p>
      <w:pPr>
        <w:pStyle w:val="Normal1"/>
        <w:keepNext w:val="false"/>
        <w:keepLines w:val="false"/>
        <w:pageBreakBefore w:val="false"/>
        <w:widowControl/>
        <w:pBdr/>
        <w:shd w:val="clear" w:fill="auto"/>
        <w:tabs>
          <w:tab w:val="clear" w:pos="720"/>
          <w:tab w:val="left" w:pos="340" w:leader="none"/>
        </w:tabs>
        <w:spacing w:lineRule="auto" w:line="276" w:before="0" w:after="57"/>
        <w:ind w:left="0" w:right="0" w:firstLine="227"/>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tabs>
          <w:tab w:val="clear" w:pos="720"/>
          <w:tab w:val="left" w:pos="340" w:leader="none"/>
        </w:tabs>
        <w:spacing w:lineRule="auto" w:line="276" w:before="0" w:after="57"/>
        <w:ind w:left="0" w:right="1304" w:firstLine="227"/>
        <w:jc w:val="righ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Οι Βουλευτές</w:t>
      </w:r>
    </w:p>
    <w:p>
      <w:pPr>
        <w:pStyle w:val="Normal1"/>
        <w:keepNext w:val="false"/>
        <w:keepLines w:val="false"/>
        <w:pageBreakBefore w:val="false"/>
        <w:widowControl/>
        <w:pBdr/>
        <w:shd w:val="clear" w:fill="auto"/>
        <w:tabs>
          <w:tab w:val="clear" w:pos="720"/>
          <w:tab w:val="left" w:pos="340" w:leader="none"/>
        </w:tabs>
        <w:spacing w:lineRule="auto" w:line="276" w:before="0" w:after="57"/>
        <w:ind w:left="0" w:right="737" w:firstLine="227"/>
        <w:jc w:val="righ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Παφίλης Θανάσης </w:t>
      </w:r>
    </w:p>
    <w:p>
      <w:pPr>
        <w:pStyle w:val="Normal1"/>
        <w:keepNext w:val="false"/>
        <w:keepLines w:val="false"/>
        <w:pageBreakBefore w:val="false"/>
        <w:widowControl/>
        <w:pBdr/>
        <w:shd w:val="clear" w:fill="auto"/>
        <w:tabs>
          <w:tab w:val="clear" w:pos="720"/>
          <w:tab w:val="left" w:pos="340" w:leader="none"/>
        </w:tabs>
        <w:spacing w:lineRule="auto" w:line="276" w:before="0" w:after="57"/>
        <w:ind w:left="0" w:right="510" w:firstLine="227"/>
        <w:jc w:val="righ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none"/>
          <w:shd w:fill="auto" w:val="clear"/>
          <w:vertAlign w:val="baseline"/>
        </w:rPr>
        <w:t>Καραθανασόπουλος Νίκος</w:t>
      </w:r>
    </w:p>
    <w:p>
      <w:pPr>
        <w:pStyle w:val="Normal1"/>
        <w:keepNext w:val="false"/>
        <w:keepLines w:val="false"/>
        <w:pageBreakBefore w:val="false"/>
        <w:widowControl/>
        <w:pBdr/>
        <w:shd w:val="clear" w:fill="auto"/>
        <w:tabs>
          <w:tab w:val="clear" w:pos="720"/>
          <w:tab w:val="left" w:pos="340" w:leader="none"/>
        </w:tabs>
        <w:spacing w:lineRule="auto" w:line="276" w:before="0" w:after="57"/>
        <w:ind w:left="0" w:right="794" w:firstLine="227"/>
        <w:jc w:val="righ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none"/>
          <w:shd w:fill="auto" w:val="clear"/>
          <w:vertAlign w:val="baseline"/>
        </w:rPr>
        <w:t>Κομνηνάκα Μαρία</w:t>
      </w:r>
    </w:p>
    <w:p>
      <w:pPr>
        <w:pStyle w:val="Normal1"/>
        <w:keepNext w:val="false"/>
        <w:keepLines w:val="false"/>
        <w:pageBreakBefore w:val="false"/>
        <w:widowControl/>
        <w:pBdr/>
        <w:shd w:val="clear" w:fill="auto"/>
        <w:tabs>
          <w:tab w:val="clear" w:pos="720"/>
          <w:tab w:val="left" w:pos="340" w:leader="none"/>
        </w:tabs>
        <w:spacing w:lineRule="auto" w:line="276" w:before="0" w:after="57"/>
        <w:ind w:left="0" w:right="510" w:firstLine="227"/>
        <w:jc w:val="righ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none"/>
          <w:shd w:fill="auto" w:val="clear"/>
          <w:vertAlign w:val="baseline"/>
        </w:rPr>
        <w:t>Παπαναστάσης Νίκος</w:t>
      </w:r>
    </w:p>
    <w:sectPr>
      <w:type w:val="nextPage"/>
      <w:pgSz w:w="11906" w:h="16838"/>
      <w:pgMar w:left="1134" w:right="1129"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432" w:hanging="432"/>
      </w:pPr>
      <w:rPr>
        <w:vertAlign w:val="baseline"/>
        <w:position w:val="0"/>
        <w:sz w:val="24"/>
      </w:rPr>
    </w:lvl>
    <w:lvl w:ilvl="1">
      <w:start w:val="1"/>
      <w:numFmt w:val="decimal"/>
      <w:lvlText w:val=""/>
      <w:lvlJc w:val="left"/>
      <w:pPr>
        <w:tabs>
          <w:tab w:val="num" w:pos="0"/>
        </w:tabs>
        <w:ind w:left="576" w:hanging="576"/>
      </w:pPr>
      <w:rPr>
        <w:vertAlign w:val="baseline"/>
        <w:position w:val="0"/>
        <w:sz w:val="24"/>
      </w:rPr>
    </w:lvl>
    <w:lvl w:ilvl="2">
      <w:start w:val="1"/>
      <w:numFmt w:val="decimal"/>
      <w:lvlText w:val=""/>
      <w:lvlJc w:val="left"/>
      <w:pPr>
        <w:tabs>
          <w:tab w:val="num" w:pos="0"/>
        </w:tabs>
        <w:ind w:left="720" w:hanging="720"/>
      </w:pPr>
      <w:rPr>
        <w:vertAlign w:val="baseline"/>
        <w:position w:val="0"/>
        <w:sz w:val="24"/>
      </w:rPr>
    </w:lvl>
    <w:lvl w:ilvl="3">
      <w:start w:val="1"/>
      <w:numFmt w:val="decimal"/>
      <w:lvlText w:val=""/>
      <w:lvlJc w:val="left"/>
      <w:pPr>
        <w:tabs>
          <w:tab w:val="num" w:pos="0"/>
        </w:tabs>
        <w:ind w:left="864" w:hanging="864"/>
      </w:pPr>
      <w:rPr>
        <w:vertAlign w:val="baseline"/>
        <w:position w:val="0"/>
        <w:sz w:val="24"/>
      </w:rPr>
    </w:lvl>
    <w:lvl w:ilvl="4">
      <w:start w:val="1"/>
      <w:numFmt w:val="decimal"/>
      <w:lvlText w:val=""/>
      <w:lvlJc w:val="left"/>
      <w:pPr>
        <w:tabs>
          <w:tab w:val="num" w:pos="0"/>
        </w:tabs>
        <w:ind w:left="1008" w:hanging="1008"/>
      </w:pPr>
      <w:rPr>
        <w:vertAlign w:val="baseline"/>
        <w:position w:val="0"/>
        <w:sz w:val="24"/>
      </w:rPr>
    </w:lvl>
    <w:lvl w:ilvl="5">
      <w:start w:val="1"/>
      <w:numFmt w:val="decimal"/>
      <w:lvlText w:val=""/>
      <w:lvlJc w:val="left"/>
      <w:pPr>
        <w:tabs>
          <w:tab w:val="num" w:pos="0"/>
        </w:tabs>
        <w:ind w:left="1152" w:hanging="1152"/>
      </w:pPr>
      <w:rPr>
        <w:vertAlign w:val="baseline"/>
        <w:position w:val="0"/>
        <w:sz w:val="24"/>
      </w:rPr>
    </w:lvl>
    <w:lvl w:ilvl="6">
      <w:start w:val="1"/>
      <w:numFmt w:val="decimal"/>
      <w:lvlText w:val=""/>
      <w:lvlJc w:val="left"/>
      <w:pPr>
        <w:tabs>
          <w:tab w:val="num" w:pos="0"/>
        </w:tabs>
        <w:ind w:left="1296" w:hanging="1296"/>
      </w:pPr>
      <w:rPr>
        <w:vertAlign w:val="baseline"/>
        <w:position w:val="0"/>
        <w:sz w:val="24"/>
      </w:rPr>
    </w:lvl>
    <w:lvl w:ilvl="7">
      <w:start w:val="1"/>
      <w:numFmt w:val="decimal"/>
      <w:lvlText w:val=""/>
      <w:lvlJc w:val="left"/>
      <w:pPr>
        <w:tabs>
          <w:tab w:val="num" w:pos="0"/>
        </w:tabs>
        <w:ind w:left="1440" w:hanging="1440"/>
      </w:pPr>
      <w:rPr>
        <w:vertAlign w:val="baseline"/>
        <w:position w:val="0"/>
        <w:sz w:val="24"/>
      </w:rPr>
    </w:lvl>
    <w:lvl w:ilvl="8">
      <w:start w:val="1"/>
      <w:numFmt w:val="decimal"/>
      <w:lvlText w:val=""/>
      <w:lvlJc w:val="left"/>
      <w:pPr>
        <w:tabs>
          <w:tab w:val="num" w:pos="0"/>
        </w:tabs>
        <w:ind w:left="1584" w:hanging="1584"/>
      </w:pPr>
      <w:rPr>
        <w:vertAlign w:val="baseline"/>
        <w:position w:val="0"/>
        <w:sz w:val="24"/>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el-GR" w:eastAsia="zh-CN" w:bidi="hi-IN"/>
      </w:rPr>
    </w:rPrDefault>
    <w:pPrDefault>
      <w:pPr>
        <w:suppressAutoHyphens w:val="true"/>
      </w:pPr>
    </w:pPrDefault>
  </w:docDefaults>
  <w:style w:type="paragraph" w:styleId="Normal">
    <w:name w:val="Normal"/>
    <w:qFormat/>
    <w:pPr>
      <w:widowControl/>
      <w:bidi w:val="0"/>
      <w:spacing w:before="0" w:after="0"/>
      <w:jc w:val="left"/>
    </w:pPr>
    <w:rPr>
      <w:rFonts w:ascii="Arial" w:hAnsi="Arial" w:eastAsia="Arial" w:cs="Arial"/>
      <w:color w:val="auto"/>
      <w:kern w:val="0"/>
      <w:sz w:val="24"/>
      <w:szCs w:val="24"/>
      <w:lang w:val="el-GR"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rmal1" w:default="1">
    <w:name w:val="LO-normal"/>
    <w:qFormat/>
    <w:pPr>
      <w:widowControl/>
      <w:bidi w:val="0"/>
      <w:spacing w:before="0" w:after="0"/>
      <w:jc w:val="left"/>
    </w:pPr>
    <w:rPr>
      <w:rFonts w:ascii="Arial" w:hAnsi="Arial" w:eastAsia="Arial" w:cs="Arial"/>
      <w:color w:val="auto"/>
      <w:kern w:val="0"/>
      <w:sz w:val="24"/>
      <w:szCs w:val="24"/>
      <w:lang w:val="el-GR"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1</Pages>
  <Words>215</Words>
  <Characters>1366</Characters>
  <CharactersWithSpaces>1567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