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8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pacing w:val="38"/>
          <w:sz w:val="32"/>
          <w:szCs w:val="32"/>
        </w:rPr>
        <w:t>ΕΝΩΤΙΚΗ ΑΓΩΝΙΣΤΙΚΗ ΚΙΝΗΣΗ ΠΥΡΟΣΒΕΣΤΩΝ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8"/>
          <w:sz w:val="4"/>
          <w:szCs w:val="4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    Της  Πανελλήνιας  Ομοσπονδίας  Ενώσεων  Υπαλλήλων  Πυροσβεστικού  Σώματος   .</w:t>
      </w:r>
    </w:p>
    <w:p>
      <w:pPr>
        <w:spacing w:after="24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Τηλ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.: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 6978520351, 6974881331,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fax: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 2674022211,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website: </w:t>
      </w:r>
      <w:hyperlink r:id="rId6">
        <w:r>
          <w:rPr>
            <w:rFonts w:ascii="Times New Roman" w:hAnsi="Times New Roman" w:cs="Times New Roman"/>
            <w:b/>
            <w:color w:val="000000" w:themeColor="text1"/>
            <w:sz w:val="23"/>
            <w:szCs w:val="23"/>
            <w:u w:val="single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email: </w:t>
      </w:r>
      <w:hyperlink r:id="rId7">
        <w:r>
          <w:rPr>
            <w:rFonts w:ascii="Times New Roman" w:hAnsi="Times New Roman" w:cs="Times New Roman"/>
            <w:b/>
            <w:color w:val="000000" w:themeColor="text1"/>
            <w:sz w:val="23"/>
            <w:szCs w:val="23"/>
            <w:u w:val="single"/>
            <w:lang w:val="en-US"/>
          </w:rPr>
          <w:t>info@eakp.gr</w:t>
        </w:r>
      </w:hyperlink>
    </w:p>
    <w:p>
      <w:pPr>
        <w:spacing w:after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Αθήνα 8 Απριλίου 2020</w:t>
      </w:r>
    </w:p>
    <w:p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>Προς: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Κο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Υπουργό Προστασίας του Πολίτη </w:t>
      </w:r>
    </w:p>
    <w:p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Χρυσοχοΐδη Μιχαήλ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Κοιν.: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en-US"/>
        </w:rPr>
        <w:t>Ko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Υφυπουργό Πολιτικής Προστασίας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 Χαρδαλιά Νικόλαο</w:t>
      </w:r>
    </w:p>
    <w:p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Κο Γενικό Γραμματέα Πολιτικής Προστασίας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 w:themeFill="background1"/>
        </w:rPr>
        <w:t xml:space="preserve">                                                                      Παπαγεωργίου Βασίλειο</w:t>
      </w:r>
    </w:p>
    <w:p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Κο Αρχηγό Πυροσβεστικού Σώματος </w:t>
      </w:r>
    </w:p>
    <w:p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 Κολοκούρη Στέφανο</w:t>
      </w:r>
    </w:p>
    <w:p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 Νομική Υπηρεσία Π.Σ.</w:t>
      </w:r>
    </w:p>
    <w:p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 Πολιτικούς Φορείς - Α.Δ.Ε.Δ.Υ. - Π.Ο.Ε.Υ.Π.Σ.</w:t>
      </w:r>
    </w:p>
    <w:p>
      <w:pPr>
        <w:spacing w:after="6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 Εργαζόμενους Π.Σ. - Μ.Μ.Ε. </w:t>
      </w:r>
    </w:p>
    <w:p>
      <w:pPr>
        <w:spacing w:after="6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double"/>
        </w:rPr>
        <w:t>Θέμα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« Προβλήματα από την εφαρμογή του νέου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Κανονισμού Μεταθέσεων »  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Κύριε Υπουργέ</w:t>
      </w:r>
    </w:p>
    <w:p>
      <w:pPr>
        <w:spacing w:after="12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Την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b/>
          <w:sz w:val="24"/>
          <w:szCs w:val="24"/>
        </w:rPr>
        <w:t xml:space="preserve"> Απριλίου</w:t>
      </w:r>
      <w:r>
        <w:rPr>
          <w:rFonts w:ascii="Times New Roman" w:hAnsi="Times New Roman" w:cs="Times New Roman"/>
          <w:sz w:val="24"/>
          <w:szCs w:val="24"/>
        </w:rPr>
        <w:t xml:space="preserve"> κοινοποιήθηκαν οι κενές θέσεις πυροσβεστικών υπηρεσιών, ο αριθμός των υπεράριθμων πυρονόμων, αρχιπυροσβεστών και πυροσβεστών, καθώς και οι πίνακες των μορίων, </w:t>
      </w:r>
      <w:r>
        <w:rPr>
          <w:rFonts w:ascii="Times New Roman" w:hAnsi="Times New Roman" w:cs="Times New Roman"/>
          <w:b/>
          <w:sz w:val="24"/>
          <w:szCs w:val="24"/>
        </w:rPr>
        <w:t xml:space="preserve">προκειμένου να διενεργηθούν τον Ιούνιο οι μεταθέσεις του προσωπικού </w:t>
      </w:r>
      <w:r>
        <w:rPr>
          <w:rFonts w:ascii="Times New Roman" w:hAnsi="Times New Roman" w:cs="Times New Roman"/>
          <w:sz w:val="24"/>
          <w:szCs w:val="24"/>
        </w:rPr>
        <w:t>σύμφωνα με τον νέο Κανονισμό Μεταθέσεων που ισχύει με τον νόμο</w:t>
      </w:r>
      <w:r>
        <w:rPr>
          <w:rFonts w:ascii="Times New Roman" w:eastAsia="MyriadPro-Regular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4662/2020.</w:t>
      </w:r>
    </w:p>
    <w:p>
      <w:pPr>
        <w:pStyle w:val="a7"/>
        <w:spacing w:after="120" w:line="259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Κατά τον υπολογισμό των μορίων των συναδέλφων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παρατηρήθηκαν αρκετά λάθη</w:t>
      </w:r>
      <w:r>
        <w:rPr>
          <w:rFonts w:ascii="Times New Roman" w:hAnsi="Times New Roman" w:cs="Times New Roman"/>
          <w:bCs/>
          <w:sz w:val="24"/>
          <w:szCs w:val="24"/>
        </w:rPr>
        <w:t xml:space="preserve"> και παραλείψεις, ενώ σε πολλές περιπτώσεις </w:t>
      </w:r>
      <w:r>
        <w:rPr>
          <w:rFonts w:ascii="Times New Roman" w:hAnsi="Times New Roman" w:cs="Times New Roman"/>
          <w:b/>
          <w:bCs/>
          <w:sz w:val="24"/>
          <w:szCs w:val="24"/>
        </w:rPr>
        <w:t>δεν έγινε ορθή εφαρμογή της νομοθεσίας.</w:t>
      </w:r>
    </w:p>
    <w:p>
      <w:pPr>
        <w:pStyle w:val="a7"/>
        <w:spacing w:after="120" w:line="259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Συγκεκριμένα:</w:t>
      </w:r>
    </w:p>
    <w:p>
      <w:pPr>
        <w:pStyle w:val="a7"/>
        <w:numPr>
          <w:ilvl w:val="0"/>
          <w:numId w:val="8"/>
        </w:numPr>
        <w:spacing w:after="120" w:line="259" w:lineRule="auto"/>
        <w:ind w:left="624" w:hanging="284"/>
        <w:jc w:val="both"/>
        <w:rPr>
          <w:rFonts w:ascii="Times New Roman" w:eastAsia="MyriadPro-Regular" w:hAnsi="Times New Roman" w:cs="Times New Roman"/>
          <w:sz w:val="24"/>
          <w:szCs w:val="24"/>
          <w:lang w:bidi="en-US"/>
        </w:rPr>
      </w:pPr>
      <w:r>
        <w:rPr>
          <w:rFonts w:ascii="Times New Roman" w:eastAsia="MyriadPro-Regular" w:hAnsi="Times New Roman" w:cs="Times New Roman"/>
          <w:b/>
          <w:sz w:val="24"/>
          <w:szCs w:val="24"/>
          <w:lang w:bidi="en-US"/>
        </w:rPr>
        <w:t>Δεν έχει προσμετρηθεί σε αρκετούς συναδέλφους, το σύνολο των μορίων</w:t>
      </w:r>
      <w:r>
        <w:rPr>
          <w:rFonts w:ascii="Times New Roman" w:eastAsia="MyriadPro-Regular" w:hAnsi="Times New Roman" w:cs="Times New Roman"/>
          <w:sz w:val="24"/>
          <w:szCs w:val="24"/>
          <w:lang w:bidi="en-US"/>
        </w:rPr>
        <w:t xml:space="preserve"> όπως αναλύονται στο άρθρο </w:t>
      </w:r>
      <w:r>
        <w:rPr>
          <w:rFonts w:ascii="Times New Roman" w:eastAsia="MyriadPro-Regular" w:hAnsi="Times New Roman" w:cs="Times New Roman"/>
          <w:b/>
          <w:sz w:val="24"/>
          <w:szCs w:val="24"/>
          <w:lang w:bidi="en-US"/>
        </w:rPr>
        <w:t>158</w:t>
      </w:r>
      <w:r>
        <w:rPr>
          <w:rFonts w:ascii="Times New Roman" w:eastAsia="MyriadPro-Regular" w:hAnsi="Times New Roman" w:cs="Times New Roman"/>
          <w:sz w:val="24"/>
          <w:szCs w:val="24"/>
          <w:lang w:bidi="en-US"/>
        </w:rPr>
        <w:t xml:space="preserve"> του νόμου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4662/2020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 παράγραφος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περιπτώσεις </w:t>
      </w:r>
      <w:r>
        <w:rPr>
          <w:rFonts w:ascii="Times New Roman" w:eastAsia="MyriadPro-Regular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MyriadPro-Regular" w:hAnsi="Times New Roman" w:cs="Times New Roman"/>
          <w:b/>
          <w:sz w:val="24"/>
          <w:szCs w:val="24"/>
          <w:lang w:bidi="en-US"/>
        </w:rPr>
        <w:t>α΄</w:t>
      </w:r>
      <w:r>
        <w:rPr>
          <w:rFonts w:ascii="Times New Roman" w:eastAsia="MyriadPro-Regular" w:hAnsi="Times New Roman" w:cs="Times New Roman"/>
          <w:sz w:val="24"/>
          <w:szCs w:val="24"/>
          <w:lang w:bidi="en-US"/>
        </w:rPr>
        <w:t xml:space="preserve">    και </w:t>
      </w:r>
      <w:r>
        <w:rPr>
          <w:rFonts w:ascii="Times New Roman" w:eastAsia="MyriadPro-Regular" w:hAnsi="Times New Roman" w:cs="Times New Roman"/>
          <w:b/>
          <w:sz w:val="24"/>
          <w:szCs w:val="24"/>
          <w:lang w:bidi="en-US"/>
        </w:rPr>
        <w:t xml:space="preserve">δ΄ </w:t>
      </w:r>
      <w:r>
        <w:rPr>
          <w:rFonts w:ascii="Times New Roman" w:eastAsia="MyriadPro-Regular" w:hAnsi="Times New Roman" w:cs="Times New Roman"/>
          <w:sz w:val="24"/>
          <w:szCs w:val="24"/>
          <w:lang w:bidi="en-US"/>
        </w:rPr>
        <w:t>).</w:t>
      </w:r>
    </w:p>
    <w:p>
      <w:pPr>
        <w:pStyle w:val="a7"/>
        <w:numPr>
          <w:ilvl w:val="0"/>
          <w:numId w:val="8"/>
        </w:numPr>
        <w:spacing w:after="120" w:line="259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Υπήρξε </w:t>
      </w:r>
      <w:r>
        <w:rPr>
          <w:rFonts w:ascii="Times New Roman" w:hAnsi="Times New Roman" w:cs="Times New Roman"/>
          <w:b/>
          <w:sz w:val="24"/>
          <w:szCs w:val="24"/>
        </w:rPr>
        <w:t>διαφορετικός τρόπος υπολογισμού των μορίων,</w:t>
      </w:r>
      <w:r>
        <w:rPr>
          <w:rFonts w:ascii="Times New Roman" w:hAnsi="Times New Roman" w:cs="Times New Roman"/>
          <w:sz w:val="24"/>
          <w:szCs w:val="24"/>
        </w:rPr>
        <w:t xml:space="preserve"> από υπηρεσία σε υπηρεσία.</w:t>
      </w:r>
    </w:p>
    <w:p>
      <w:pPr>
        <w:pStyle w:val="a4"/>
        <w:numPr>
          <w:ilvl w:val="0"/>
          <w:numId w:val="10"/>
        </w:numPr>
        <w:spacing w:after="12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πίνακες των μορίων των πυροσβεστικών υπαλλήλων, </w:t>
      </w:r>
      <w:r>
        <w:rPr>
          <w:rFonts w:ascii="Times New Roman" w:hAnsi="Times New Roman" w:cs="Times New Roman"/>
          <w:b/>
          <w:sz w:val="24"/>
          <w:szCs w:val="24"/>
        </w:rPr>
        <w:t>εκδόθηκαν χωρίς να υπάρχει ενδεδειγμένη αναλυτική σειρά</w:t>
      </w:r>
      <w:r>
        <w:rPr>
          <w:rFonts w:ascii="Times New Roman" w:hAnsi="Times New Roman" w:cs="Times New Roman"/>
          <w:sz w:val="24"/>
          <w:szCs w:val="24"/>
        </w:rPr>
        <w:t xml:space="preserve"> ( για παράδειγμα με βάση τον βαθμό ή την αρχαιότητα, τον αριθμό των μορίων, αλφαβητικά ή ανά νομό ).</w:t>
      </w:r>
    </w:p>
    <w:p>
      <w:pPr>
        <w:pStyle w:val="a4"/>
        <w:numPr>
          <w:ilvl w:val="0"/>
          <w:numId w:val="10"/>
        </w:numPr>
        <w:spacing w:after="12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Η υπ. αριθ. 11635 Φ. 202.1/21-2-2020 Απόφαση του Αρχηγείου Πυροσβεστικού Σώματος που είχε εκδοθεί για να δώσει οδηγίες για τον αναδρομικό υπολογισμό των μορίων,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είναι σε αντίθεση με τις διατάξεις των περισσότερων άρθρων του κανονισμού </w:t>
      </w:r>
      <w:r>
        <w:rPr>
          <w:rFonts w:ascii="Times New Roman" w:hAnsi="Times New Roman" w:cs="Times New Roman"/>
          <w:sz w:val="24"/>
          <w:szCs w:val="24"/>
          <w:lang w:bidi="en-US"/>
        </w:rPr>
        <w:t>και ιδιαίτερα με το άρθρο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 xml:space="preserve"> 158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( παράγραφος 2 περίπτωση δ΄ και παράγραφος 4 περίπτωση β΄ ) </w:t>
      </w:r>
    </w:p>
    <w:p>
      <w:pPr>
        <w:pStyle w:val="a4"/>
        <w:numPr>
          <w:ilvl w:val="0"/>
          <w:numId w:val="10"/>
        </w:numPr>
        <w:spacing w:after="240" w:line="259" w:lineRule="auto"/>
        <w:ind w:left="62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Με την υπ. αριθ. 18767 Φ.202.2/1-4-2020 Διαταγή Α.Π.Σ., </w:t>
      </w:r>
      <w:r>
        <w:rPr>
          <w:rFonts w:ascii="Times New Roman" w:hAnsi="Times New Roman" w:cs="Times New Roman"/>
          <w:b/>
          <w:sz w:val="24"/>
          <w:szCs w:val="24"/>
        </w:rPr>
        <w:t xml:space="preserve">απαγορεύτηκε στους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συναδέλφους που κάνουν ένσταση, να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αναφέρονται σε υπολογισμό μορίων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άλλων συναδέλφων. Δηλαδή απαγορεύτηκε να αναφέρουν οι συνάδελφοι περιπτώσεις διαφορετικού υπολογισμού μορίων μεταξύ υπαλλήλων,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προκειμένου να μπορέσουν να στηρίξουν την ένστασή τους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όταν διαπιστώσουν ότι αδικήθηκαν ή αν διαπιστώνουν ότι ο λανθασμένος υπολογισμός μορίων συναδέλφου και όχι ο δικός τους,  δημιουργεί πρόβλημα στην μεταξύ τους σειρά προτεραιότητας για μεταθέσεις.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συγκεκριμένες πρακτικές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έχουν άμεσες αρνητικές επιπτώσεις σε χιλιάδες πυροσβέστες.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Εξαιτίας των λαθών και των παραλείψεων που έχουν γίνει,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μπορεί να μετατεθούν συνάδελφοι μακριά από τα σπίτια τους στη θέση κάποιων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άλλων,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χωρίς να είναι η σειρά τους. Δημιουργείται παράλληλα η εντύπωση,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ότι όλα αυτά τα « λάθη » ή οι παραλήψεις, γίνονται για να ευνοούνται οι ημέτεροι.</w:t>
      </w:r>
    </w:p>
    <w:p>
      <w:pPr>
        <w:pStyle w:val="a7"/>
        <w:spacing w:after="120" w:line="259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Κύριε Υπουργέ</w:t>
      </w:r>
    </w:p>
    <w:p>
      <w:pPr>
        <w:pStyle w:val="a7"/>
        <w:spacing w:after="120" w:line="25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νωτική 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γωνιστική </w:t>
      </w:r>
      <w:r>
        <w:rPr>
          <w:rFonts w:ascii="Times New Roman" w:hAnsi="Times New Roman" w:cs="Times New Roman"/>
          <w:b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 xml:space="preserve">ίνηση </w:t>
      </w:r>
      <w:r>
        <w:rPr>
          <w:rFonts w:ascii="Times New Roman" w:hAnsi="Times New Roman" w:cs="Times New Roman"/>
          <w:b/>
          <w:sz w:val="24"/>
          <w:szCs w:val="24"/>
        </w:rPr>
        <w:t>Π</w:t>
      </w:r>
      <w:r>
        <w:rPr>
          <w:rFonts w:ascii="Times New Roman" w:hAnsi="Times New Roman" w:cs="Times New Roman"/>
          <w:sz w:val="24"/>
          <w:szCs w:val="24"/>
        </w:rPr>
        <w:t>υροσβεστών</w:t>
      </w:r>
      <w:r>
        <w:rPr>
          <w:rFonts w:ascii="Times New Roman" w:hAnsi="Times New Roman" w:cs="Times New Roman"/>
          <w:b/>
          <w:sz w:val="24"/>
          <w:szCs w:val="24"/>
        </w:rPr>
        <w:t xml:space="preserve"> αγωνίζεται μέσα στα πλαίσια του συνδικαλιστικού κινήματος για την κατάργηση του ισχύοντος Κανονισμού Μεταθέσεων και τη θέσπιση νέου αξιοκρατικού και δίκαιου Κανονισμού που δεν θα ξεσπιτώνει πυροσβέστες με μεταθέσεις,</w:t>
      </w:r>
      <w:r>
        <w:rPr>
          <w:rFonts w:ascii="Times New Roman" w:hAnsi="Times New Roman" w:cs="Times New Roman"/>
          <w:sz w:val="24"/>
          <w:szCs w:val="24"/>
        </w:rPr>
        <w:t xml:space="preserve"> γιατί θα προϋποθέτει </w:t>
      </w:r>
      <w:r>
        <w:rPr>
          <w:rFonts w:ascii="Times New Roman" w:hAnsi="Times New Roman" w:cs="Times New Roman"/>
          <w:b/>
          <w:sz w:val="24"/>
          <w:szCs w:val="24"/>
        </w:rPr>
        <w:t>κάλυψη των ελλείψεων με προσλήψεις μόνιμου προσωπικού και μονιμοποίηση των 5ετών και εποχικών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συναδέλφων. </w:t>
      </w:r>
      <w:r>
        <w:rPr>
          <w:rFonts w:ascii="Times New Roman" w:hAnsi="Times New Roman" w:cs="Times New Roman"/>
          <w:sz w:val="24"/>
          <w:szCs w:val="24"/>
        </w:rPr>
        <w:t>Οι προτάσεις μας έχουν κατατεθεί προς την Πολιτική και τη Φυσική μας Ηγεσία.</w:t>
      </w:r>
    </w:p>
    <w:p>
      <w:pPr>
        <w:pStyle w:val="a7"/>
        <w:spacing w:after="240" w:line="25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Μέχρι να κατακτηθεί και να υλοποιηθεί το δίκαιο αίτημά μας, </w:t>
      </w:r>
      <w:r>
        <w:rPr>
          <w:rFonts w:ascii="Times New Roman" w:hAnsi="Times New Roman" w:cs="Times New Roman"/>
          <w:b/>
          <w:sz w:val="24"/>
          <w:szCs w:val="24"/>
        </w:rPr>
        <w:t>ζητάμε να γίνουν οι ενέργειες που θα διασφαλίζουν την ορθή εφαρμογή της νομοθεσίας και την πλήρη αντικειμενικότητα</w:t>
      </w:r>
      <w:r>
        <w:rPr>
          <w:rFonts w:ascii="Times New Roman" w:hAnsi="Times New Roman" w:cs="Times New Roman"/>
          <w:sz w:val="24"/>
          <w:szCs w:val="24"/>
        </w:rPr>
        <w:t xml:space="preserve"> σε ότι αφορά τη μοριοδότηση και την υπηρεσιακή κατάσταση των πυροσβεστών.</w:t>
      </w:r>
    </w:p>
    <w:p>
      <w:pPr>
        <w:pStyle w:val="a7"/>
        <w:spacing w:after="120" w:line="259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Συγκεκριμένα ζητάμε:   </w:t>
      </w:r>
    </w:p>
    <w:p>
      <w:pPr>
        <w:pStyle w:val="a4"/>
        <w:numPr>
          <w:ilvl w:val="0"/>
          <w:numId w:val="11"/>
        </w:numPr>
        <w:spacing w:after="120" w:line="259" w:lineRule="auto"/>
        <w:ind w:left="62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εκδοθεί ερμηνευτική εγκύκλιος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 να ορίζει τον ακριβή υπολογισμό των μορίων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πυροσβεστών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όπως ακριβώς προβλέπεται από τις διατάξεις του νόμου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4662/2020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και ιδιαίτερα από το άρθρο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158,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για να αποφεύγονται τα λάθη και οι παραλείψεις. Στην εγκύκλιο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να διευκρινίζονται και οι μεταβατικές διατάξεις του νόμου που αφορούν την προσμέτρηση χρόνου υπηρεσίας και ιδιαίτερα οι εξαιρέσεις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που αναφέρονται στην παράγραφο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4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του άρθρου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164.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>
      <w:pPr>
        <w:pStyle w:val="a4"/>
        <w:numPr>
          <w:ilvl w:val="0"/>
          <w:numId w:val="11"/>
        </w:numPr>
        <w:spacing w:after="120" w:line="259" w:lineRule="auto"/>
        <w:ind w:left="62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εκδοθούν νέοι πίνακες μορίων των πυροσβεστών, </w:t>
      </w:r>
      <w:r>
        <w:rPr>
          <w:rFonts w:ascii="Times New Roman" w:hAnsi="Times New Roman" w:cs="Times New Roman"/>
          <w:b/>
          <w:sz w:val="24"/>
          <w:szCs w:val="24"/>
        </w:rPr>
        <w:t>με ενδεδειγμένη αναλυτική  σειρά.</w:t>
      </w:r>
    </w:p>
    <w:p>
      <w:pPr>
        <w:pStyle w:val="a7"/>
        <w:numPr>
          <w:ilvl w:val="0"/>
          <w:numId w:val="11"/>
        </w:numPr>
        <w:spacing w:after="600" w:line="259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υπολογισμός των μορίων κατά την εξέταση των ενστάσεων των συναδέλφων από τα Συμβούλια Μεταθέσεων, </w:t>
      </w:r>
      <w:r>
        <w:rPr>
          <w:rFonts w:ascii="Times New Roman" w:hAnsi="Times New Roman" w:cs="Times New Roman"/>
          <w:b/>
          <w:sz w:val="24"/>
          <w:szCs w:val="24"/>
        </w:rPr>
        <w:t>να γίνει με ενιαία αντιμετώπιση σύμφωνα με τα νόμιμα κριτήρια.</w:t>
      </w:r>
      <w:r>
        <w:rPr>
          <w:rFonts w:ascii="Times New Roman" w:hAnsi="Times New Roman" w:cs="Times New Roman"/>
          <w:sz w:val="24"/>
          <w:szCs w:val="24"/>
        </w:rPr>
        <w:t xml:space="preserve"> Οι ενστάσεις </w:t>
      </w:r>
      <w:r>
        <w:rPr>
          <w:rFonts w:ascii="Times New Roman" w:hAnsi="Times New Roman" w:cs="Times New Roman"/>
          <w:b/>
          <w:sz w:val="24"/>
          <w:szCs w:val="24"/>
        </w:rPr>
        <w:t>να υποβάλλονται με βάση τη συνήθη πρακτική</w:t>
      </w:r>
      <w:r>
        <w:rPr>
          <w:rFonts w:ascii="Times New Roman" w:hAnsi="Times New Roman" w:cs="Times New Roman"/>
          <w:sz w:val="24"/>
          <w:szCs w:val="24"/>
        </w:rPr>
        <w:t xml:space="preserve"> και τα ισχύοντα στη νομοθεσία και </w:t>
      </w:r>
      <w:r>
        <w:rPr>
          <w:rFonts w:ascii="Times New Roman" w:hAnsi="Times New Roman" w:cs="Times New Roman"/>
          <w:b/>
          <w:sz w:val="24"/>
          <w:szCs w:val="24"/>
        </w:rPr>
        <w:t>να αρθούν οι απαγορεύσεις και οι περιορισμοί</w:t>
      </w:r>
      <w:r>
        <w:rPr>
          <w:rFonts w:ascii="Times New Roman" w:hAnsi="Times New Roman" w:cs="Times New Roman"/>
          <w:sz w:val="24"/>
          <w:szCs w:val="24"/>
        </w:rPr>
        <w:t xml:space="preserve"> κατά την υποβολή τους.</w:t>
      </w:r>
    </w:p>
    <w:p>
      <w:pPr>
        <w:spacing w:after="0"/>
        <w:jc w:val="center"/>
        <w:rPr>
          <w:rFonts w:ascii="Times New Roman" w:hAnsi="Times New Roman" w:cs="Times New Roman"/>
          <w:b/>
          <w:spacing w:val="18"/>
          <w:sz w:val="32"/>
          <w:szCs w:val="32"/>
        </w:rPr>
      </w:pPr>
      <w:r>
        <w:rPr>
          <w:rFonts w:ascii="Times New Roman" w:hAnsi="Times New Roman" w:cs="Times New Roman"/>
          <w:b/>
          <w:spacing w:val="18"/>
          <w:sz w:val="32"/>
          <w:szCs w:val="32"/>
        </w:rPr>
        <w:t>ΕΝΩΤΙΚΗ ΑΓΩΝΙΣΤΙΚΗ ΚΙΝΗΣΗ ΠΥΡΟΣΒΕΣΤΩΝ</w:t>
      </w:r>
    </w:p>
    <w:p>
      <w:pPr>
        <w:spacing w:after="48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27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1">
      <w:start w:val="1"/>
      <w:numFmt w:val="bullet"/>
      <w:lvlText w:val="◦"/>
      <w:lvlJc w:val="left"/>
      <w:pPr>
        <w:tabs>
          <w:tab w:val="num" w:pos="1039"/>
        </w:tabs>
        <w:ind w:left="103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1399"/>
        </w:tabs>
        <w:ind w:left="13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3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4">
      <w:start w:val="1"/>
      <w:numFmt w:val="bullet"/>
      <w:lvlText w:val="◦"/>
      <w:lvlJc w:val="left"/>
      <w:pPr>
        <w:tabs>
          <w:tab w:val="num" w:pos="2119"/>
        </w:tabs>
        <w:ind w:left="211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2479"/>
        </w:tabs>
        <w:ind w:left="247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6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7">
      <w:start w:val="1"/>
      <w:numFmt w:val="bullet"/>
      <w:lvlText w:val="◦"/>
      <w:lvlJc w:val="left"/>
      <w:pPr>
        <w:tabs>
          <w:tab w:val="num" w:pos="3199"/>
        </w:tabs>
        <w:ind w:left="31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3559"/>
        </w:tabs>
        <w:ind w:left="355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1">
      <w:start w:val="1"/>
      <w:numFmt w:val="bullet"/>
      <w:lvlText w:val="◦"/>
      <w:lvlJc w:val="left"/>
      <w:pPr>
        <w:tabs>
          <w:tab w:val="num" w:pos="1039"/>
        </w:tabs>
        <w:ind w:left="103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2">
      <w:start w:val="1"/>
      <w:numFmt w:val="bullet"/>
      <w:lvlText w:val="▪"/>
      <w:lvlJc w:val="left"/>
      <w:pPr>
        <w:tabs>
          <w:tab w:val="num" w:pos="1399"/>
        </w:tabs>
        <w:ind w:left="13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3">
      <w:start w:val="1"/>
      <w:numFmt w:val="bullet"/>
      <w:lvlText w:val=""/>
      <w:lvlJc w:val="left"/>
      <w:pPr>
        <w:tabs>
          <w:tab w:val="num" w:pos="1759"/>
        </w:tabs>
        <w:ind w:left="175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4">
      <w:start w:val="1"/>
      <w:numFmt w:val="bullet"/>
      <w:lvlText w:val="◦"/>
      <w:lvlJc w:val="left"/>
      <w:pPr>
        <w:tabs>
          <w:tab w:val="num" w:pos="2119"/>
        </w:tabs>
        <w:ind w:left="211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5">
      <w:start w:val="1"/>
      <w:numFmt w:val="bullet"/>
      <w:lvlText w:val="▪"/>
      <w:lvlJc w:val="left"/>
      <w:pPr>
        <w:tabs>
          <w:tab w:val="num" w:pos="2479"/>
        </w:tabs>
        <w:ind w:left="247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6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cs="Symbol" w:hint="default"/>
        <w:color w:val="000000"/>
        <w:spacing w:val="14"/>
        <w:kern w:val="1"/>
        <w:sz w:val="12"/>
        <w:szCs w:val="12"/>
        <w:lang w:val="el-GR" w:eastAsia="en-US" w:bidi="en-US"/>
      </w:rPr>
    </w:lvl>
    <w:lvl w:ilvl="7">
      <w:start w:val="1"/>
      <w:numFmt w:val="bullet"/>
      <w:lvlText w:val="◦"/>
      <w:lvlJc w:val="left"/>
      <w:pPr>
        <w:tabs>
          <w:tab w:val="num" w:pos="3199"/>
        </w:tabs>
        <w:ind w:left="319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  <w:lvl w:ilvl="8">
      <w:start w:val="1"/>
      <w:numFmt w:val="bullet"/>
      <w:lvlText w:val="▪"/>
      <w:lvlJc w:val="left"/>
      <w:pPr>
        <w:tabs>
          <w:tab w:val="num" w:pos="3559"/>
        </w:tabs>
        <w:ind w:left="3559" w:hanging="360"/>
      </w:pPr>
      <w:rPr>
        <w:rFonts w:ascii="OpenSymbol" w:hAnsi="OpenSymbol" w:cs="Courier New" w:hint="default"/>
        <w:b/>
        <w:bCs/>
        <w:color w:val="000000"/>
        <w:sz w:val="25"/>
        <w:szCs w:val="25"/>
      </w:rPr>
    </w:lvl>
  </w:abstractNum>
  <w:abstractNum w:abstractNumId="2">
    <w:nsid w:val="11A234EB"/>
    <w:multiLevelType w:val="hybridMultilevel"/>
    <w:tmpl w:val="B6EC0C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33C3"/>
    <w:multiLevelType w:val="hybridMultilevel"/>
    <w:tmpl w:val="38881F6A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8441A"/>
    <w:multiLevelType w:val="hybridMultilevel"/>
    <w:tmpl w:val="1840BF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B7FBA"/>
    <w:multiLevelType w:val="hybridMultilevel"/>
    <w:tmpl w:val="8BC0DCC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C58C3"/>
    <w:multiLevelType w:val="hybridMultilevel"/>
    <w:tmpl w:val="F050C1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551B4"/>
    <w:multiLevelType w:val="hybridMultilevel"/>
    <w:tmpl w:val="6B2A83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F14BE"/>
    <w:multiLevelType w:val="hybridMultilevel"/>
    <w:tmpl w:val="EA9AA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30A2A"/>
    <w:multiLevelType w:val="hybridMultilevel"/>
    <w:tmpl w:val="8FA2D91E"/>
    <w:lvl w:ilvl="0" w:tplc="04080005">
      <w:start w:val="1"/>
      <w:numFmt w:val="bullet"/>
      <w:lvlText w:val=""/>
      <w:lvlJc w:val="left"/>
      <w:pPr>
        <w:ind w:left="69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0">
    <w:nsid w:val="730E3346"/>
    <w:multiLevelType w:val="hybridMultilevel"/>
    <w:tmpl w:val="CCE880A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3598-1218-4398-A7F3-593967E1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fontstyle01">
    <w:name w:val="fontstyle01"/>
    <w:basedOn w:val="a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l-GR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3"/>
      <w:szCs w:val="23"/>
      <w:lang w:eastAsia="el-GR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el-GR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50"/>
      <w:sz w:val="23"/>
      <w:szCs w:val="23"/>
      <w:lang w:eastAsia="el-GR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el-GR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3"/>
      <w:szCs w:val="23"/>
      <w:lang w:eastAsia="el-GR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l-GR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3"/>
      <w:szCs w:val="23"/>
      <w:lang w:eastAsia="el-GR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3"/>
      <w:szCs w:val="23"/>
      <w:lang w:eastAsia="el-GR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102">
    <w:name w:val="xl10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3">
    <w:name w:val="xl103"/>
    <w:basedOn w:val="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4">
    <w:name w:val="xl104"/>
    <w:basedOn w:val="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05">
    <w:name w:val="xl105"/>
    <w:basedOn w:val="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el-GR"/>
    </w:rPr>
  </w:style>
  <w:style w:type="paragraph" w:customStyle="1" w:styleId="xl107">
    <w:name w:val="xl107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C000"/>
      <w:sz w:val="23"/>
      <w:szCs w:val="23"/>
      <w:lang w:eastAsia="el-GR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3"/>
      <w:szCs w:val="23"/>
      <w:lang w:eastAsia="el-GR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eastAsia="el-GR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C000"/>
      <w:sz w:val="24"/>
      <w:szCs w:val="24"/>
      <w:lang w:eastAsia="el-GR"/>
    </w:rPr>
  </w:style>
  <w:style w:type="paragraph" w:customStyle="1" w:styleId="xl112">
    <w:name w:val="xl112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el-GR"/>
    </w:rPr>
  </w:style>
  <w:style w:type="paragraph" w:customStyle="1" w:styleId="xl113">
    <w:name w:val="xl113"/>
    <w:basedOn w:val="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customStyle="1" w:styleId="xl114">
    <w:name w:val="xl114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el-GR"/>
    </w:rPr>
  </w:style>
  <w:style w:type="paragraph" w:styleId="a5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ak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kp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99B0-2B93-4B20-AC8F-0D6BF3F0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αχτιδα αχτίδα</dc:creator>
  <cp:lastModifiedBy>Χρήστης των Windows</cp:lastModifiedBy>
  <cp:revision>7</cp:revision>
  <dcterms:created xsi:type="dcterms:W3CDTF">2020-04-08T13:43:00Z</dcterms:created>
  <dcterms:modified xsi:type="dcterms:W3CDTF">2020-04-08T15:19:00Z</dcterms:modified>
</cp:coreProperties>
</file>