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36"/>
          <w:sz w:val="24"/>
          <w:szCs w:val="24"/>
          <w:u w:val="single"/>
          <w:lang w:bidi="en-US"/>
        </w:rPr>
      </w:pPr>
      <w:r>
        <w:rPr>
          <w:rFonts w:ascii="Times New Roman" w:hAnsi="Times New Roman" w:cs="Times New Roman"/>
          <w:b/>
          <w:spacing w:val="38"/>
          <w:sz w:val="32"/>
          <w:szCs w:val="32"/>
          <w:lang w:bidi="en-US"/>
        </w:rPr>
        <w:t>ΕΝΩΤΙΚΗ ΑΓΩΝΙΣΤΙΚΗ ΚΙΝΗΣΗ ΠΥΡΟΣΒΕΣΤΩ</w:t>
      </w:r>
      <w:r>
        <w:rPr>
          <w:rFonts w:ascii="Times New Roman" w:hAnsi="Times New Roman" w:cs="Times New Roman"/>
          <w:b/>
          <w:spacing w:val="36"/>
          <w:sz w:val="32"/>
          <w:szCs w:val="32"/>
          <w:lang w:bidi="en-US"/>
        </w:rPr>
        <w:t>Ν</w:t>
      </w:r>
    </w:p>
    <w:p>
      <w:pPr>
        <w:spacing w:after="0"/>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b/>
          <w:sz w:val="23"/>
          <w:szCs w:val="23"/>
          <w:u w:val="single"/>
          <w:lang w:val="en-US" w:bidi="en-US"/>
        </w:rPr>
      </w:pPr>
      <w:r>
        <w:rPr>
          <w:rFonts w:ascii="Times New Roman" w:hAnsi="Times New Roman" w:cs="Times New Roman"/>
          <w:sz w:val="23"/>
          <w:szCs w:val="23"/>
          <w:lang w:bidi="en-US"/>
        </w:rPr>
        <w:t>Τηλ</w:t>
      </w:r>
      <w:r>
        <w:rPr>
          <w:rFonts w:ascii="Times New Roman" w:hAnsi="Times New Roman" w:cs="Times New Roman"/>
          <w:sz w:val="23"/>
          <w:szCs w:val="23"/>
          <w:lang w:val="en-US" w:bidi="en-US"/>
        </w:rPr>
        <w:t>.:</w:t>
      </w:r>
      <w:r>
        <w:rPr>
          <w:rFonts w:ascii="Times New Roman" w:hAnsi="Times New Roman" w:cs="Times New Roman"/>
          <w:b/>
          <w:sz w:val="23"/>
          <w:szCs w:val="23"/>
          <w:lang w:val="en-US" w:bidi="en-US"/>
        </w:rPr>
        <w:t xml:space="preserve"> 6978520351 - 6974881331,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website: </w:t>
      </w:r>
      <w:hyperlink r:id="rId7">
        <w:r>
          <w:rPr>
            <w:rFonts w:ascii="Times New Roman" w:hAnsi="Times New Roman" w:cs="Times New Roman"/>
            <w:b/>
            <w:sz w:val="23"/>
            <w:szCs w:val="23"/>
            <w:u w:val="single"/>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8">
        <w:r>
          <w:rPr>
            <w:rFonts w:ascii="Times New Roman" w:hAnsi="Times New Roman" w:cs="Times New Roman"/>
            <w:b/>
            <w:sz w:val="23"/>
            <w:szCs w:val="23"/>
            <w:u w:val="single"/>
            <w:lang w:val="en-US" w:bidi="en-US"/>
          </w:rPr>
          <w:t>info@eakp.gr</w:t>
        </w:r>
      </w:hyperlink>
    </w:p>
    <w:p>
      <w:pPr>
        <w:spacing w:after="24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30 Μαρτίου 2020</w:t>
      </w:r>
    </w:p>
    <w:p>
      <w:pPr>
        <w:pBdr>
          <w:top w:val="single" w:sz="4" w:space="1" w:color="auto"/>
          <w:left w:val="single" w:sz="4" w:space="4" w:color="auto"/>
          <w:bottom w:val="single" w:sz="4" w:space="1" w:color="auto"/>
          <w:right w:val="single" w:sz="4" w:space="4" w:color="auto"/>
        </w:pBd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Η ΚΑΤΑΝΟΜΗ  ΤΗΣ ΥΠΗΡΕΤΟΥΣΑΣ ΔΥΝΑΜΗΣ  ΤΟΥ Π.Σ. ΓΙΑ </w:t>
      </w:r>
      <w:r>
        <w:rPr>
          <w:rFonts w:ascii="Times New Roman" w:eastAsia="Calibri" w:hAnsi="Times New Roman" w:cs="Times New Roman"/>
          <w:b/>
          <w:bCs/>
          <w:sz w:val="28"/>
          <w:szCs w:val="28"/>
          <w:lang w:val="en-US"/>
        </w:rPr>
        <w:t>TO</w:t>
      </w:r>
      <w:r>
        <w:rPr>
          <w:rFonts w:ascii="Times New Roman" w:eastAsia="Calibri" w:hAnsi="Times New Roman" w:cs="Times New Roman"/>
          <w:b/>
          <w:bCs/>
          <w:sz w:val="28"/>
          <w:szCs w:val="28"/>
        </w:rPr>
        <w:t xml:space="preserve"> 2020</w:t>
      </w:r>
    </w:p>
    <w:p>
      <w:pPr>
        <w:pBdr>
          <w:top w:val="single" w:sz="4" w:space="1" w:color="auto"/>
          <w:left w:val="single" w:sz="4" w:space="4" w:color="auto"/>
          <w:bottom w:val="single" w:sz="4" w:space="1" w:color="auto"/>
          <w:right w:val="single" w:sz="4" w:space="4" w:color="auto"/>
        </w:pBdr>
        <w:spacing w:after="36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ΚΑΙ ΤΙ ΑΠΟΚΑΛΥΠΤΟΥΝ ΟΙ  ΑΡΙΘΜΗΤΙΚΕΣ ΤΗΣ ΜΕΤΑΒΟΛΕΣ  </w:t>
      </w:r>
    </w:p>
    <w:p>
      <w:pPr>
        <w:spacing w:after="0"/>
        <w:ind w:firstLine="3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Με την υπ’ αριθ. </w:t>
      </w:r>
      <w:r>
        <w:rPr>
          <w:rFonts w:ascii="Times New Roman" w:eastAsia="Calibri" w:hAnsi="Times New Roman" w:cs="Times New Roman"/>
          <w:b/>
          <w:bCs/>
          <w:sz w:val="24"/>
          <w:szCs w:val="24"/>
        </w:rPr>
        <w:t>17564 Φ.102.2/26-3-2020</w:t>
      </w:r>
      <w:r>
        <w:rPr>
          <w:rFonts w:ascii="Times New Roman" w:eastAsia="Calibri" w:hAnsi="Times New Roman" w:cs="Times New Roman"/>
          <w:bCs/>
          <w:sz w:val="24"/>
          <w:szCs w:val="24"/>
        </w:rPr>
        <w:t xml:space="preserve"> απόφαση του Αρχηγού του Π.Σ. κοινοποιήθηκε η κατανομή της υπηρετούσας δύναμης του Πυροσβεστικού Σώματος για το </w:t>
      </w:r>
      <w:r>
        <w:rPr>
          <w:rFonts w:ascii="Times New Roman" w:eastAsia="Calibri" w:hAnsi="Times New Roman" w:cs="Times New Roman"/>
          <w:b/>
          <w:bCs/>
          <w:sz w:val="24"/>
          <w:szCs w:val="24"/>
        </w:rPr>
        <w:t>2020</w:t>
      </w:r>
      <w:r>
        <w:rPr>
          <w:rFonts w:ascii="Times New Roman" w:eastAsia="Calibri" w:hAnsi="Times New Roman" w:cs="Times New Roman"/>
          <w:bCs/>
          <w:sz w:val="24"/>
          <w:szCs w:val="24"/>
        </w:rPr>
        <w:t xml:space="preserve">. Από τον αναλυτικό έλεγχο που κάναμε διαπιστώσαμε ότι σε γενικές γραμμές η κατανομή των θέσεων για το </w:t>
      </w:r>
      <w:r>
        <w:rPr>
          <w:rFonts w:ascii="Times New Roman" w:eastAsia="Calibri" w:hAnsi="Times New Roman" w:cs="Times New Roman"/>
          <w:b/>
          <w:bCs/>
          <w:sz w:val="24"/>
          <w:szCs w:val="24"/>
        </w:rPr>
        <w:t>2020</w:t>
      </w:r>
      <w:r>
        <w:rPr>
          <w:rFonts w:ascii="Times New Roman" w:eastAsia="Calibri" w:hAnsi="Times New Roman" w:cs="Times New Roman"/>
          <w:bCs/>
          <w:sz w:val="24"/>
          <w:szCs w:val="24"/>
        </w:rPr>
        <w:t xml:space="preserve"> σε σχέση με τις αντίστοιχες του </w:t>
      </w:r>
      <w:r>
        <w:rPr>
          <w:rFonts w:ascii="Times New Roman" w:eastAsia="Calibri" w:hAnsi="Times New Roman" w:cs="Times New Roman"/>
          <w:b/>
          <w:bCs/>
          <w:sz w:val="24"/>
          <w:szCs w:val="24"/>
        </w:rPr>
        <w:t xml:space="preserve">2019 </w:t>
      </w:r>
      <w:r>
        <w:rPr>
          <w:rFonts w:ascii="Times New Roman" w:eastAsia="Calibri" w:hAnsi="Times New Roman" w:cs="Times New Roman"/>
          <w:bCs/>
          <w:sz w:val="24"/>
          <w:szCs w:val="24"/>
        </w:rPr>
        <w:t xml:space="preserve">είναι </w:t>
      </w:r>
      <w:r>
        <w:rPr>
          <w:rFonts w:ascii="Times New Roman" w:eastAsia="Calibri" w:hAnsi="Times New Roman" w:cs="Times New Roman"/>
          <w:b/>
          <w:bCs/>
          <w:sz w:val="24"/>
          <w:szCs w:val="24"/>
        </w:rPr>
        <w:t>κατά πολύ λιγότερες</w:t>
      </w:r>
      <w:r>
        <w:rPr>
          <w:rFonts w:ascii="Times New Roman" w:eastAsia="Calibri" w:hAnsi="Times New Roman" w:cs="Times New Roman"/>
          <w:bCs/>
          <w:sz w:val="24"/>
          <w:szCs w:val="24"/>
        </w:rPr>
        <w:t xml:space="preserve"> σε αρκετές περιοχές της χώρας μας. Ορισμένα χαρακτηριστικά παραδείγματα περιοχών της κατηγορίας Πυρονόμων - Αρχιπυροσβεστών - Πυροσβεστών είναι: </w:t>
      </w:r>
      <w:r>
        <w:rPr>
          <w:rFonts w:ascii="Times New Roman" w:eastAsia="Calibri" w:hAnsi="Times New Roman" w:cs="Times New Roman"/>
          <w:b/>
          <w:bCs/>
          <w:sz w:val="24"/>
          <w:szCs w:val="24"/>
        </w:rPr>
        <w:t xml:space="preserve">Αχαΐας -61, </w:t>
      </w:r>
      <w:r>
        <w:rPr>
          <w:rFonts w:ascii="Times New Roman" w:hAnsi="Times New Roman" w:cs="Times New Roman"/>
          <w:b/>
          <w:sz w:val="24"/>
          <w:szCs w:val="24"/>
          <w:lang w:bidi="en-US"/>
        </w:rPr>
        <w:t>Θεσπρωτίας -42</w:t>
      </w:r>
      <w:r>
        <w:rPr>
          <w:rFonts w:ascii="Times New Roman" w:eastAsia="Calibri" w:hAnsi="Times New Roman" w:cs="Times New Roman"/>
          <w:b/>
          <w:bCs/>
          <w:sz w:val="24"/>
          <w:szCs w:val="24"/>
        </w:rPr>
        <w:t xml:space="preserve">, </w:t>
      </w:r>
      <w:r>
        <w:rPr>
          <w:rFonts w:ascii="Times New Roman" w:hAnsi="Times New Roman" w:cs="Times New Roman"/>
          <w:b/>
          <w:sz w:val="24"/>
          <w:szCs w:val="24"/>
          <w:lang w:bidi="en-US"/>
        </w:rPr>
        <w:t>Ηρακλείου -40</w:t>
      </w:r>
      <w:r>
        <w:rPr>
          <w:rFonts w:ascii="Times New Roman" w:eastAsia="Calibri" w:hAnsi="Times New Roman" w:cs="Times New Roman"/>
          <w:b/>
          <w:bCs/>
          <w:sz w:val="24"/>
          <w:szCs w:val="24"/>
        </w:rPr>
        <w:t xml:space="preserve">, </w:t>
      </w:r>
      <w:r>
        <w:rPr>
          <w:rFonts w:ascii="Times New Roman" w:hAnsi="Times New Roman" w:cs="Times New Roman"/>
          <w:b/>
          <w:sz w:val="24"/>
          <w:szCs w:val="24"/>
          <w:lang w:bidi="en-US"/>
        </w:rPr>
        <w:t>Φθιώτιδας -37</w:t>
      </w:r>
      <w:r>
        <w:rPr>
          <w:rFonts w:ascii="Times New Roman" w:eastAsia="Calibri" w:hAnsi="Times New Roman" w:cs="Times New Roman"/>
          <w:b/>
          <w:bCs/>
          <w:sz w:val="24"/>
          <w:szCs w:val="24"/>
        </w:rPr>
        <w:t xml:space="preserve">, </w:t>
      </w:r>
      <w:r>
        <w:rPr>
          <w:rFonts w:ascii="Times New Roman" w:hAnsi="Times New Roman" w:cs="Times New Roman"/>
          <w:b/>
          <w:sz w:val="24"/>
          <w:szCs w:val="24"/>
          <w:lang w:bidi="en-US"/>
        </w:rPr>
        <w:t>Ηλείας  -39</w:t>
      </w:r>
      <w:r>
        <w:rPr>
          <w:rFonts w:ascii="Times New Roman" w:eastAsia="Calibri" w:hAnsi="Times New Roman" w:cs="Times New Roman"/>
          <w:b/>
          <w:bCs/>
          <w:sz w:val="24"/>
          <w:szCs w:val="24"/>
        </w:rPr>
        <w:t xml:space="preserve">, </w:t>
      </w:r>
      <w:r>
        <w:rPr>
          <w:rFonts w:ascii="Times New Roman" w:hAnsi="Times New Roman" w:cs="Times New Roman"/>
          <w:b/>
          <w:sz w:val="24"/>
          <w:szCs w:val="24"/>
          <w:lang w:bidi="en-US"/>
        </w:rPr>
        <w:t>Έβρου -34</w:t>
      </w:r>
      <w:r>
        <w:rPr>
          <w:rFonts w:ascii="Times New Roman" w:eastAsia="Calibri" w:hAnsi="Times New Roman" w:cs="Times New Roman"/>
          <w:b/>
          <w:bCs/>
          <w:sz w:val="24"/>
          <w:szCs w:val="24"/>
        </w:rPr>
        <w:t xml:space="preserve">, </w:t>
      </w:r>
      <w:r>
        <w:rPr>
          <w:rFonts w:ascii="Times New Roman" w:hAnsi="Times New Roman" w:cs="Times New Roman"/>
          <w:b/>
          <w:sz w:val="24"/>
          <w:szCs w:val="24"/>
          <w:lang w:bidi="en-US"/>
        </w:rPr>
        <w:t>Λαρίσης  -32, Ροδόπης  -30, Καβάλας  -29, Χανίων -25</w:t>
      </w:r>
      <w:r>
        <w:rPr>
          <w:rFonts w:ascii="Times New Roman" w:hAnsi="Times New Roman" w:cs="Times New Roman"/>
          <w:sz w:val="24"/>
          <w:szCs w:val="24"/>
          <w:lang w:bidi="en-US"/>
        </w:rPr>
        <w:t xml:space="preserve"> κ.α. </w:t>
      </w:r>
    </w:p>
    <w:p>
      <w:pPr>
        <w:spacing w:after="60"/>
        <w:ind w:firstLine="340"/>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Από την ανάλυση αυτή ο καθένας μας μπορεί να συμπεράνει ποιες θα είναι οι εξελίξεις στο επόμενο διάστημα κατά την περίοδο των τακτικών μεταθέσεων</w:t>
      </w:r>
      <w:r>
        <w:rPr>
          <w:rFonts w:ascii="Times New Roman" w:eastAsia="Calibri" w:hAnsi="Times New Roman" w:cs="Times New Roman"/>
          <w:bCs/>
          <w:sz w:val="24"/>
          <w:szCs w:val="24"/>
        </w:rPr>
        <w:t xml:space="preserve">. Η δραστική μείωση της </w:t>
      </w:r>
      <w:bookmarkStart w:id="0" w:name="_GoBack"/>
      <w:bookmarkEnd w:id="0"/>
      <w:r>
        <w:rPr>
          <w:rFonts w:ascii="Times New Roman" w:eastAsia="Calibri" w:hAnsi="Times New Roman" w:cs="Times New Roman"/>
          <w:bCs/>
          <w:sz w:val="24"/>
          <w:szCs w:val="24"/>
        </w:rPr>
        <w:t xml:space="preserve">κατανομής της υπηρετούσας ανοίγει τους ασκούς του Αιόλου </w:t>
      </w:r>
      <w:r>
        <w:rPr>
          <w:rFonts w:ascii="Times New Roman" w:eastAsia="Calibri" w:hAnsi="Times New Roman" w:cs="Times New Roman"/>
          <w:b/>
          <w:bCs/>
          <w:sz w:val="24"/>
          <w:szCs w:val="24"/>
        </w:rPr>
        <w:t>για ενδεχόμενες</w:t>
      </w:r>
      <w:r>
        <w:rPr>
          <w:rFonts w:ascii="Times New Roman" w:eastAsia="Calibri" w:hAnsi="Times New Roman" w:cs="Times New Roman"/>
          <w:bCs/>
          <w:sz w:val="24"/>
          <w:szCs w:val="24"/>
        </w:rPr>
        <w:t xml:space="preserve"> μεταθέσεις. </w:t>
      </w:r>
    </w:p>
    <w:p>
      <w:pPr>
        <w:spacing w:after="60"/>
        <w:ind w:firstLine="34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Έτσι εξηγείται και το γεγονός ότι τα προεδρεία κάποιων Ενώσεων που οι εκλογές τους ήταν προγραμματισμένες για φέτος, είχαν την πρεμούρα να γίνουν οι εκλογές νωρίτερα από ότι συνηθίζεται, προκειμένου να αποφύγουν την γενική κατακραυγή που αυτή θα καταγράφονταν μέσα από το εκλογικό αποτέλεσμα αν αυτές διενεργούνταν μετά τις μεταθέσεις.</w:t>
      </w:r>
    </w:p>
    <w:p>
      <w:pPr>
        <w:spacing w:after="60"/>
        <w:ind w:firstLine="3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Η </w:t>
      </w:r>
      <w:r>
        <w:rPr>
          <w:rFonts w:ascii="Times New Roman" w:eastAsia="Calibri" w:hAnsi="Times New Roman" w:cs="Times New Roman"/>
          <w:b/>
          <w:bCs/>
          <w:sz w:val="24"/>
          <w:szCs w:val="24"/>
        </w:rPr>
        <w:t>Ε</w:t>
      </w:r>
      <w:r>
        <w:rPr>
          <w:rFonts w:ascii="Times New Roman" w:eastAsia="Calibri" w:hAnsi="Times New Roman" w:cs="Times New Roman"/>
          <w:bCs/>
          <w:sz w:val="24"/>
          <w:szCs w:val="24"/>
        </w:rPr>
        <w:t xml:space="preserve">νωτική </w:t>
      </w:r>
      <w:r>
        <w:rPr>
          <w:rFonts w:ascii="Times New Roman" w:eastAsia="Calibri" w:hAnsi="Times New Roman" w:cs="Times New Roman"/>
          <w:b/>
          <w:bCs/>
          <w:sz w:val="24"/>
          <w:szCs w:val="24"/>
        </w:rPr>
        <w:t>Α</w:t>
      </w:r>
      <w:r>
        <w:rPr>
          <w:rFonts w:ascii="Times New Roman" w:eastAsia="Calibri" w:hAnsi="Times New Roman" w:cs="Times New Roman"/>
          <w:bCs/>
          <w:sz w:val="24"/>
          <w:szCs w:val="24"/>
        </w:rPr>
        <w:t xml:space="preserve">γωνιστική </w:t>
      </w:r>
      <w:r>
        <w:rPr>
          <w:rFonts w:ascii="Times New Roman" w:eastAsia="Calibri" w:hAnsi="Times New Roman" w:cs="Times New Roman"/>
          <w:b/>
          <w:bCs/>
          <w:sz w:val="24"/>
          <w:szCs w:val="24"/>
        </w:rPr>
        <w:t>Κ</w:t>
      </w:r>
      <w:r>
        <w:rPr>
          <w:rFonts w:ascii="Times New Roman" w:eastAsia="Calibri" w:hAnsi="Times New Roman" w:cs="Times New Roman"/>
          <w:bCs/>
          <w:sz w:val="24"/>
          <w:szCs w:val="24"/>
        </w:rPr>
        <w:t xml:space="preserve">ίνηση </w:t>
      </w:r>
      <w:r>
        <w:rPr>
          <w:rFonts w:ascii="Times New Roman" w:eastAsia="Calibri" w:hAnsi="Times New Roman" w:cs="Times New Roman"/>
          <w:b/>
          <w:bCs/>
          <w:sz w:val="24"/>
          <w:szCs w:val="24"/>
        </w:rPr>
        <w:t>Π</w:t>
      </w:r>
      <w:r>
        <w:rPr>
          <w:rFonts w:ascii="Times New Roman" w:eastAsia="Calibri" w:hAnsi="Times New Roman" w:cs="Times New Roman"/>
          <w:bCs/>
          <w:sz w:val="24"/>
          <w:szCs w:val="24"/>
        </w:rPr>
        <w:t xml:space="preserve">υροσβεστών όλα τα προηγούμενα χρόνια έπαιρνε σαφή θέση για την κατανομή της υπηρετούσας δύναμης στο Πυροσβεστικό Σώμα. Πάγια θέση μας είναι η στήριξη των ενεργειών που θα δημιουργούν ένα ολοκληρωμένο σύστημα πυρασφάλειας της χώρας μας. Γνωρίζουμε πολύ καλά πως κάτι τέτοιο μόνο με προσλήψεις μόνιμου προσωπικού μπορεί να υλοποιηθεί και να καλυφτούν οι σύγχρονες ανάγκες που έχουν δημιουργηθεί. Οι μεταθέσεις πυροσβεστών από μια Πυροσβεστική Υπηρεσία που έχει μικρή έλλειψη δύναμης σε μία άλλη που έχει μεγαλύτερη, δεν λύνει προβλήματα αλλά δημιουργεί περισσότερα. </w:t>
      </w:r>
      <w:r>
        <w:rPr>
          <w:rFonts w:ascii="Times New Roman" w:eastAsia="Calibri" w:hAnsi="Times New Roman" w:cs="Times New Roman"/>
          <w:b/>
          <w:bCs/>
          <w:sz w:val="24"/>
          <w:szCs w:val="24"/>
        </w:rPr>
        <w:t>Μόνο η κάλυψη των κενών της κάθε περιοχής με κατά τόπους προσλήψεις έδωσε για χρόνια λύσεις και είναι η ενδεδειγμένη αντιμετώπιση των ελλείψεων προσωπικού, σε συνδυασμό με την προστασία του υπαλλήλου από εξοντωτικές μεταθέσεις</w:t>
      </w:r>
      <w:r>
        <w:rPr>
          <w:rFonts w:ascii="Times New Roman" w:eastAsia="Calibri" w:hAnsi="Times New Roman" w:cs="Times New Roman"/>
          <w:bCs/>
          <w:sz w:val="24"/>
          <w:szCs w:val="24"/>
        </w:rPr>
        <w:t xml:space="preserve">. Στο επόμενο διάστημα η πυροσβέστρια και ο πυροσβέστης δεν πρέπει να ξεχάσουν τη στάση που κράτησαν οι συμβιβασμένες συνδικαλιστικές ηγεσίες της Π.Ο.Ε.Υ.Π.Σ., των πρωτοβάθμιων Ενώσεων και όλων των άλλων παρατάξεων, που αντί να μπουν μπροστάρηδες για την αποτροπή της ψήφισης του Ν. 4662/2020 που  επιβάλει το ξεσπίτωμα, </w:t>
      </w:r>
      <w:r>
        <w:rPr>
          <w:rFonts w:ascii="Times New Roman" w:eastAsia="Calibri" w:hAnsi="Times New Roman" w:cs="Times New Roman"/>
          <w:b/>
          <w:bCs/>
          <w:sz w:val="24"/>
          <w:szCs w:val="24"/>
        </w:rPr>
        <w:t>αυτοί όχι μόνο δεν αντιστάθηκαν, αντιθέτως υπερθεμάτιζαν το σπάσιμο του αμετάθετου, την μεγαλύτερη δηλαδή κατάκτηση των εργαζομένων του Π.Σ.</w:t>
      </w:r>
      <w:r>
        <w:rPr>
          <w:rFonts w:ascii="Times New Roman" w:eastAsia="Calibri" w:hAnsi="Times New Roman" w:cs="Times New Roman"/>
          <w:bCs/>
          <w:sz w:val="24"/>
          <w:szCs w:val="24"/>
        </w:rPr>
        <w:t xml:space="preserve"> </w:t>
      </w:r>
    </w:p>
    <w:p>
      <w:pPr>
        <w:spacing w:after="360"/>
        <w:ind w:firstLine="340"/>
        <w:jc w:val="both"/>
        <w:rPr>
          <w:rFonts w:ascii="Times New Roman" w:hAnsi="Times New Roman" w:cs="Times New Roman"/>
          <w:sz w:val="24"/>
          <w:szCs w:val="24"/>
          <w:lang w:bidi="en-US"/>
        </w:rPr>
      </w:pPr>
      <w:r>
        <w:rPr>
          <w:rFonts w:ascii="Times New Roman" w:eastAsia="Calibri" w:hAnsi="Times New Roman" w:cs="Times New Roman"/>
          <w:bCs/>
          <w:sz w:val="24"/>
          <w:szCs w:val="24"/>
        </w:rPr>
        <w:t xml:space="preserve">  Η </w:t>
      </w:r>
      <w:r>
        <w:rPr>
          <w:rFonts w:ascii="Times New Roman" w:eastAsia="Calibri" w:hAnsi="Times New Roman" w:cs="Times New Roman"/>
          <w:b/>
          <w:bCs/>
          <w:sz w:val="24"/>
          <w:szCs w:val="24"/>
        </w:rPr>
        <w:t>Ε</w:t>
      </w:r>
      <w:r>
        <w:rPr>
          <w:rFonts w:ascii="Times New Roman" w:eastAsia="Calibri" w:hAnsi="Times New Roman" w:cs="Times New Roman"/>
          <w:bCs/>
          <w:sz w:val="24"/>
          <w:szCs w:val="24"/>
        </w:rPr>
        <w:t xml:space="preserve">νωτική </w:t>
      </w:r>
      <w:r>
        <w:rPr>
          <w:rFonts w:ascii="Times New Roman" w:eastAsia="Calibri" w:hAnsi="Times New Roman" w:cs="Times New Roman"/>
          <w:b/>
          <w:bCs/>
          <w:sz w:val="24"/>
          <w:szCs w:val="24"/>
        </w:rPr>
        <w:t>Α</w:t>
      </w:r>
      <w:r>
        <w:rPr>
          <w:rFonts w:ascii="Times New Roman" w:eastAsia="Calibri" w:hAnsi="Times New Roman" w:cs="Times New Roman"/>
          <w:bCs/>
          <w:sz w:val="24"/>
          <w:szCs w:val="24"/>
        </w:rPr>
        <w:t xml:space="preserve">γωνιστική </w:t>
      </w:r>
      <w:r>
        <w:rPr>
          <w:rFonts w:ascii="Times New Roman" w:eastAsia="Calibri" w:hAnsi="Times New Roman" w:cs="Times New Roman"/>
          <w:b/>
          <w:bCs/>
          <w:sz w:val="24"/>
          <w:szCs w:val="24"/>
        </w:rPr>
        <w:t>Κ</w:t>
      </w:r>
      <w:r>
        <w:rPr>
          <w:rFonts w:ascii="Times New Roman" w:eastAsia="Calibri" w:hAnsi="Times New Roman" w:cs="Times New Roman"/>
          <w:bCs/>
          <w:sz w:val="24"/>
          <w:szCs w:val="24"/>
        </w:rPr>
        <w:t xml:space="preserve">ίνηση </w:t>
      </w:r>
      <w:r>
        <w:rPr>
          <w:rFonts w:ascii="Times New Roman" w:eastAsia="Calibri" w:hAnsi="Times New Roman" w:cs="Times New Roman"/>
          <w:b/>
          <w:bCs/>
          <w:sz w:val="24"/>
          <w:szCs w:val="24"/>
        </w:rPr>
        <w:t>Π</w:t>
      </w:r>
      <w:r>
        <w:rPr>
          <w:rFonts w:ascii="Times New Roman" w:eastAsia="Calibri" w:hAnsi="Times New Roman" w:cs="Times New Roman"/>
          <w:bCs/>
          <w:sz w:val="24"/>
          <w:szCs w:val="24"/>
        </w:rPr>
        <w:t xml:space="preserve">υροσβεστών </w:t>
      </w:r>
      <w:r>
        <w:rPr>
          <w:rFonts w:ascii="Times New Roman" w:eastAsia="Calibri" w:hAnsi="Times New Roman" w:cs="Times New Roman"/>
          <w:b/>
          <w:bCs/>
          <w:sz w:val="24"/>
          <w:szCs w:val="24"/>
        </w:rPr>
        <w:t>είναι η μόνη δύναμη</w:t>
      </w:r>
      <w:r>
        <w:rPr>
          <w:rFonts w:ascii="Times New Roman" w:eastAsia="Calibri" w:hAnsi="Times New Roman" w:cs="Times New Roman"/>
          <w:bCs/>
          <w:sz w:val="24"/>
          <w:szCs w:val="24"/>
        </w:rPr>
        <w:t xml:space="preserve"> που όλο το προηγούμενο διάστημα στάθηκε στο ύψος των περιστάσεων, κάλεσε όλους τους συναδέλφους να συμμετέχουν στις κινητοποιήσεις που διοργάνωσε στο Υπουργείο Προστασίας του Πολίτη αλλά και στη Βουλή την ημέρα που θα καταθέτονταν προς ψήφιση ο παραπάνω νόμος. Είναι σίγουρο ότι όσο θα προχωρά η υλοποίηση του στρατηγικού σχεδιασμού της κυβέρνησης στην διάρκεια των τριών ετών που έχει θέσει ως χρονικό  ορίζοντα για την πλήρη εφαρμογή του Νόμου 4662/2020, </w:t>
      </w:r>
      <w:r>
        <w:rPr>
          <w:rFonts w:ascii="Times New Roman" w:eastAsia="Calibri" w:hAnsi="Times New Roman" w:cs="Times New Roman"/>
          <w:b/>
          <w:bCs/>
          <w:sz w:val="24"/>
          <w:szCs w:val="24"/>
        </w:rPr>
        <w:t>τόσο περισσότερο οι εργαζόμενοι θα κατανοούν τι σημασία είχε ο τιτάνιος αλλά μοναχικός αγώνας της Ε.Α.Κ.Π. για να μην ψηφιστούν οι διατάξεις του</w:t>
      </w:r>
      <w:r>
        <w:rPr>
          <w:rFonts w:ascii="Times New Roman" w:eastAsia="Calibri" w:hAnsi="Times New Roman" w:cs="Times New Roman"/>
          <w:bCs/>
          <w:sz w:val="24"/>
          <w:szCs w:val="24"/>
        </w:rPr>
        <w:t xml:space="preserve">. </w:t>
      </w:r>
    </w:p>
    <w:p>
      <w:pPr>
        <w:spacing w:after="0"/>
        <w:jc w:val="center"/>
        <w:rPr>
          <w:rFonts w:ascii="Times New Roman" w:hAnsi="Times New Roman" w:cs="Times New Roman"/>
          <w:b/>
          <w:spacing w:val="18"/>
          <w:sz w:val="32"/>
          <w:szCs w:val="32"/>
          <w:lang w:bidi="en-US"/>
        </w:rPr>
      </w:pPr>
      <w:r>
        <w:rPr>
          <w:rFonts w:ascii="Times New Roman" w:hAnsi="Times New Roman" w:cs="Times New Roman"/>
          <w:b/>
          <w:spacing w:val="18"/>
          <w:sz w:val="32"/>
          <w:szCs w:val="32"/>
          <w:lang w:bidi="en-US"/>
        </w:rPr>
        <w:t>ΕΝΩΤΙΚΗ ΑΓΩΝΙΣΤΙΚΗ ΚΙΝΗΣΗ ΠΥΡΟΣΒΕΣΤΩΝ</w:t>
      </w:r>
    </w:p>
    <w:tbl>
      <w:tblPr>
        <w:tblpPr w:leftFromText="180" w:rightFromText="180" w:horzAnchor="page" w:tblpX="182" w:tblpY="-285"/>
        <w:tblW w:w="11766" w:type="dxa"/>
        <w:tblLayout w:type="fixed"/>
        <w:tblLook w:val="04A0" w:firstRow="1" w:lastRow="0" w:firstColumn="1" w:lastColumn="0" w:noHBand="0" w:noVBand="1"/>
      </w:tblPr>
      <w:tblGrid>
        <w:gridCol w:w="11766"/>
      </w:tblGrid>
      <w:tr>
        <w:trPr>
          <w:trHeight w:val="284"/>
        </w:trPr>
        <w:tc>
          <w:tcPr>
            <w:tcW w:w="11766" w:type="dxa"/>
            <w:tcBorders>
              <w:left w:val="nil"/>
              <w:bottom w:val="nil"/>
              <w:right w:val="nil"/>
            </w:tcBorders>
            <w:shd w:val="clear" w:color="auto" w:fill="auto"/>
            <w:noWrap/>
            <w:hideMark/>
          </w:tcPr>
          <w:tbl>
            <w:tblPr>
              <w:tblpPr w:leftFromText="180" w:rightFromText="180" w:horzAnchor="page" w:tblpX="182" w:tblpY="-285"/>
              <w:tblW w:w="11766" w:type="dxa"/>
              <w:tblLayout w:type="fixed"/>
              <w:tblLook w:val="04A0" w:firstRow="1" w:lastRow="0" w:firstColumn="1" w:lastColumn="0" w:noHBand="0" w:noVBand="1"/>
            </w:tblPr>
            <w:tblGrid>
              <w:gridCol w:w="250"/>
              <w:gridCol w:w="2439"/>
              <w:gridCol w:w="567"/>
              <w:gridCol w:w="567"/>
              <w:gridCol w:w="567"/>
              <w:gridCol w:w="709"/>
              <w:gridCol w:w="709"/>
              <w:gridCol w:w="567"/>
              <w:gridCol w:w="708"/>
              <w:gridCol w:w="425"/>
              <w:gridCol w:w="709"/>
              <w:gridCol w:w="494"/>
              <w:gridCol w:w="498"/>
              <w:gridCol w:w="709"/>
              <w:gridCol w:w="430"/>
              <w:gridCol w:w="429"/>
              <w:gridCol w:w="421"/>
              <w:gridCol w:w="426"/>
              <w:gridCol w:w="142"/>
            </w:tblGrid>
            <w:tr>
              <w:trPr>
                <w:trHeight w:val="284"/>
              </w:trPr>
              <w:tc>
                <w:tcPr>
                  <w:tcW w:w="11766" w:type="dxa"/>
                  <w:gridSpan w:val="19"/>
                  <w:tcBorders>
                    <w:left w:val="nil"/>
                    <w:bottom w:val="nil"/>
                    <w:right w:val="nil"/>
                  </w:tcBorders>
                  <w:shd w:val="clear" w:color="auto" w:fill="auto"/>
                  <w:noWrap/>
                  <w:hideMark/>
                </w:tcPr>
                <w:p>
                  <w:pPr>
                    <w:spacing w:after="0" w:line="240" w:lineRule="auto"/>
                    <w:jc w:val="center"/>
                    <w:rPr>
                      <w:rFonts w:ascii="Times New Roman" w:eastAsia="Times New Roman" w:hAnsi="Times New Roman" w:cs="Times New Roman"/>
                      <w:b/>
                      <w:bCs/>
                      <w:lang w:eastAsia="el-GR"/>
                    </w:rPr>
                  </w:pPr>
                  <w:r>
                    <w:rPr>
                      <w:rFonts w:ascii="Times New Roman" w:eastAsia="Times New Roman" w:hAnsi="Times New Roman" w:cs="Times New Roman"/>
                      <w:b/>
                      <w:bCs/>
                      <w:lang w:eastAsia="el-GR"/>
                    </w:rPr>
                    <w:lastRenderedPageBreak/>
                    <w:t>ΣΥΓΚΡΙΤΙΚΟΣ ΠΙΝΑΚΑΣ ΜΕΤΑΒΟΛΩΝ ΚΑΤΑΝΟΜΗΣ</w:t>
                  </w:r>
                </w:p>
              </w:tc>
            </w:tr>
            <w:tr>
              <w:trPr>
                <w:trHeight w:val="300"/>
              </w:trPr>
              <w:tc>
                <w:tcPr>
                  <w:tcW w:w="11766" w:type="dxa"/>
                  <w:gridSpan w:val="19"/>
                  <w:tcBorders>
                    <w:top w:val="nil"/>
                    <w:left w:val="nil"/>
                    <w:bottom w:val="nil"/>
                    <w:right w:val="nil"/>
                  </w:tcBorders>
                  <w:shd w:val="clear" w:color="auto" w:fill="auto"/>
                  <w:noWrap/>
                  <w:hideMark/>
                </w:tcPr>
                <w:p>
                  <w:pPr>
                    <w:spacing w:after="0" w:line="240" w:lineRule="auto"/>
                    <w:jc w:val="center"/>
                    <w:rPr>
                      <w:rFonts w:ascii="Times New Roman" w:eastAsia="Times New Roman" w:hAnsi="Times New Roman" w:cs="Times New Roman"/>
                      <w:b/>
                      <w:bCs/>
                      <w:lang w:eastAsia="el-GR"/>
                    </w:rPr>
                  </w:pPr>
                  <w:r>
                    <w:rPr>
                      <w:rFonts w:ascii="Times New Roman" w:eastAsia="Times New Roman" w:hAnsi="Times New Roman" w:cs="Times New Roman"/>
                      <w:b/>
                      <w:bCs/>
                      <w:lang w:eastAsia="el-GR"/>
                    </w:rPr>
                    <w:t>της συνολικής υπηρετούσας δύναμης του Πυροσβεστικού Προσωπικού μεταξύ των ετών 2019 και 2020</w:t>
                  </w:r>
                </w:p>
              </w:tc>
            </w:tr>
            <w:tr>
              <w:trPr>
                <w:trHeight w:val="300"/>
              </w:trPr>
              <w:tc>
                <w:tcPr>
                  <w:tcW w:w="11766" w:type="dxa"/>
                  <w:gridSpan w:val="19"/>
                  <w:tcBorders>
                    <w:top w:val="nil"/>
                    <w:left w:val="nil"/>
                    <w:bottom w:val="single" w:sz="4" w:space="0" w:color="auto"/>
                    <w:right w:val="nil"/>
                  </w:tcBorders>
                  <w:shd w:val="clear" w:color="auto" w:fill="auto"/>
                  <w:noWrap/>
                  <w:hideMark/>
                </w:tcPr>
                <w:p>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 </w:t>
                  </w:r>
                </w:p>
              </w:tc>
            </w:tr>
            <w:tr>
              <w:trPr>
                <w:gridAfter w:val="1"/>
                <w:wAfter w:w="142" w:type="dxa"/>
                <w:trHeight w:val="2438"/>
              </w:trPr>
              <w:tc>
                <w:tcPr>
                  <w:tcW w:w="250" w:type="dxa"/>
                  <w:tcBorders>
                    <w:top w:val="single" w:sz="4" w:space="0" w:color="auto"/>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r>
                    <w:rPr>
                      <w:rFonts w:ascii="Times New Roman" w:eastAsia="Times New Roman" w:hAnsi="Times New Roman" w:cs="Times New Roman"/>
                      <w:sz w:val="18"/>
                      <w:szCs w:val="18"/>
                      <w:lang w:eastAsia="el-GR"/>
                    </w:rPr>
                    <w:br/>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ight="317"/>
                    <w:rPr>
                      <w:rFonts w:ascii="Times New Roman" w:eastAsia="Times New Roman" w:hAnsi="Times New Roman" w:cs="Times New Roman"/>
                      <w:b/>
                      <w:lang w:eastAsia="el-GR"/>
                    </w:rPr>
                  </w:pPr>
                </w:p>
                <w:p>
                  <w:pPr>
                    <w:spacing w:after="0" w:line="240" w:lineRule="auto"/>
                    <w:ind w:left="-108" w:right="317"/>
                    <w:rPr>
                      <w:rFonts w:ascii="Times New Roman" w:eastAsia="Times New Roman" w:hAnsi="Times New Roman" w:cs="Times New Roman"/>
                      <w:b/>
                      <w:lang w:eastAsia="el-GR"/>
                    </w:rPr>
                  </w:pPr>
                </w:p>
                <w:p>
                  <w:pPr>
                    <w:spacing w:after="0" w:line="240" w:lineRule="auto"/>
                    <w:ind w:left="-108" w:right="317"/>
                    <w:rPr>
                      <w:rFonts w:ascii="Times New Roman" w:eastAsia="Times New Roman" w:hAnsi="Times New Roman" w:cs="Times New Roman"/>
                      <w:b/>
                      <w:lang w:eastAsia="el-GR"/>
                    </w:rPr>
                  </w:pPr>
                </w:p>
                <w:p>
                  <w:pPr>
                    <w:spacing w:after="0" w:line="240" w:lineRule="auto"/>
                    <w:ind w:left="-108" w:right="317"/>
                    <w:rPr>
                      <w:rFonts w:ascii="Times New Roman" w:eastAsia="Times New Roman" w:hAnsi="Times New Roman" w:cs="Times New Roman"/>
                      <w:b/>
                      <w:lang w:eastAsia="el-GR"/>
                    </w:rPr>
                  </w:pPr>
                </w:p>
                <w:p>
                  <w:pPr>
                    <w:spacing w:after="0" w:line="240" w:lineRule="auto"/>
                    <w:ind w:left="-108" w:right="317"/>
                    <w:rPr>
                      <w:rFonts w:ascii="Times New Roman" w:eastAsia="Times New Roman" w:hAnsi="Times New Roman" w:cs="Times New Roman"/>
                      <w:b/>
                      <w:lang w:eastAsia="el-GR"/>
                    </w:rPr>
                  </w:pPr>
                </w:p>
                <w:p>
                  <w:pPr>
                    <w:spacing w:after="0" w:line="240" w:lineRule="auto"/>
                    <w:ind w:left="-108" w:right="317"/>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ΥΠΗΡΕΣΙΑ</w:t>
                  </w:r>
                </w:p>
              </w:tc>
              <w:tc>
                <w:tcPr>
                  <w:tcW w:w="567"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jc w:val="center"/>
                    <w:rPr>
                      <w:rFonts w:ascii="Times New Roman" w:eastAsia="Times New Roman" w:hAnsi="Times New Roman" w:cs="Times New Roman"/>
                      <w:b/>
                      <w:lang w:eastAsia="el-GR"/>
                    </w:rPr>
                  </w:pPr>
                  <w:r>
                    <w:rPr>
                      <w:rFonts w:ascii="Times New Roman" w:eastAsia="Times New Roman" w:hAnsi="Times New Roman" w:cs="Times New Roman"/>
                      <w:b/>
                      <w:lang w:eastAsia="el-GR"/>
                    </w:rPr>
                    <w:t>Π Χ Ο Ι</w:t>
                  </w:r>
                </w:p>
              </w:tc>
              <w:tc>
                <w:tcPr>
                  <w:tcW w:w="567"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jc w:val="center"/>
                    <w:rPr>
                      <w:rFonts w:ascii="Times New Roman" w:eastAsia="Times New Roman" w:hAnsi="Times New Roman" w:cs="Times New Roman"/>
                      <w:b/>
                      <w:lang w:eastAsia="el-GR"/>
                    </w:rPr>
                  </w:pPr>
                  <w:r>
                    <w:rPr>
                      <w:rFonts w:ascii="Times New Roman" w:eastAsia="Times New Roman" w:hAnsi="Times New Roman" w:cs="Times New Roman"/>
                      <w:b/>
                      <w:lang w:eastAsia="el-GR"/>
                    </w:rPr>
                    <w:t>ΑΝΠΧΟΙ</w:t>
                  </w:r>
                </w:p>
              </w:tc>
              <w:tc>
                <w:tcPr>
                  <w:tcW w:w="567"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jc w:val="center"/>
                    <w:rPr>
                      <w:rFonts w:ascii="Times New Roman" w:eastAsia="Times New Roman" w:hAnsi="Times New Roman" w:cs="Times New Roman"/>
                      <w:b/>
                      <w:lang w:eastAsia="el-GR"/>
                    </w:rPr>
                  </w:pPr>
                  <w:r>
                    <w:rPr>
                      <w:rFonts w:ascii="Times New Roman" w:eastAsia="Times New Roman" w:hAnsi="Times New Roman" w:cs="Times New Roman"/>
                      <w:b/>
                      <w:lang w:eastAsia="el-GR"/>
                    </w:rPr>
                    <w:t>ΕΠΓΟΙ</w:t>
                  </w:r>
                </w:p>
              </w:tc>
              <w:tc>
                <w:tcPr>
                  <w:tcW w:w="709"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jc w:val="center"/>
                    <w:rPr>
                      <w:rFonts w:ascii="Times New Roman" w:eastAsia="Times New Roman" w:hAnsi="Times New Roman" w:cs="Times New Roman"/>
                      <w:b/>
                      <w:lang w:eastAsia="el-GR"/>
                    </w:rPr>
                  </w:pPr>
                  <w:r>
                    <w:rPr>
                      <w:rFonts w:ascii="Times New Roman" w:eastAsia="Times New Roman" w:hAnsi="Times New Roman" w:cs="Times New Roman"/>
                      <w:b/>
                      <w:lang w:eastAsia="el-GR"/>
                    </w:rPr>
                    <w:t>ΠΥΡΓΟΙ  ΥΠΡΓΟΙ ΑΝΘΠΓΟΙ</w:t>
                  </w:r>
                </w:p>
              </w:tc>
              <w:tc>
                <w:tcPr>
                  <w:tcW w:w="709"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val="en-US" w:eastAsia="el-GR"/>
                    </w:rPr>
                  </w:pPr>
                  <w:r>
                    <w:rPr>
                      <w:rFonts w:ascii="Times New Roman" w:eastAsia="Times New Roman" w:hAnsi="Times New Roman" w:cs="Times New Roman"/>
                      <w:b/>
                      <w:lang w:eastAsia="el-GR"/>
                    </w:rPr>
                    <w:t xml:space="preserve">  ΠΥΡΜΟΙ ΑΠΣΤΕΣ </w:t>
                  </w:r>
                  <w:r>
                    <w:rPr>
                      <w:rFonts w:ascii="Times New Roman" w:eastAsia="Times New Roman" w:hAnsi="Times New Roman" w:cs="Times New Roman"/>
                      <w:b/>
                      <w:lang w:val="en-US" w:eastAsia="el-GR"/>
                    </w:rPr>
                    <w:t xml:space="preserve">  </w:t>
                  </w:r>
                </w:p>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val="en-US" w:eastAsia="el-GR"/>
                    </w:rPr>
                    <w:t xml:space="preserve"> </w:t>
                  </w:r>
                  <w:r>
                    <w:rPr>
                      <w:rFonts w:ascii="Times New Roman" w:eastAsia="Times New Roman" w:hAnsi="Times New Roman" w:cs="Times New Roman"/>
                      <w:b/>
                      <w:lang w:eastAsia="el-GR"/>
                    </w:rPr>
                    <w:t xml:space="preserve"> ΠΥΡΣΤΕΣ</w:t>
                  </w:r>
                </w:p>
              </w:tc>
              <w:tc>
                <w:tcPr>
                  <w:tcW w:w="567"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val="en-US" w:eastAsia="el-GR"/>
                    </w:rPr>
                    <w:t xml:space="preserve"> </w:t>
                  </w:r>
                  <w:r>
                    <w:rPr>
                      <w:rFonts w:ascii="Times New Roman" w:eastAsia="Times New Roman" w:hAnsi="Times New Roman" w:cs="Times New Roman"/>
                      <w:b/>
                      <w:lang w:eastAsia="el-GR"/>
                    </w:rPr>
                    <w:t xml:space="preserve"> ΑΞ/ΚΟΙ ΤΕΧΝΙΚΟΙ</w:t>
                  </w:r>
                </w:p>
              </w:tc>
              <w:tc>
                <w:tcPr>
                  <w:tcW w:w="708"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val="en-US" w:eastAsia="el-GR"/>
                    </w:rPr>
                  </w:pPr>
                  <w:r>
                    <w:rPr>
                      <w:rFonts w:ascii="Times New Roman" w:eastAsia="Times New Roman" w:hAnsi="Times New Roman" w:cs="Times New Roman"/>
                      <w:b/>
                      <w:lang w:val="en-US" w:eastAsia="el-GR"/>
                    </w:rPr>
                    <w:t xml:space="preserve"> </w:t>
                  </w:r>
                  <w:r>
                    <w:rPr>
                      <w:rFonts w:ascii="Times New Roman" w:eastAsia="Times New Roman" w:hAnsi="Times New Roman" w:cs="Times New Roman"/>
                      <w:b/>
                      <w:lang w:eastAsia="el-GR"/>
                    </w:rPr>
                    <w:t xml:space="preserve"> ΠΥΡΜΟΙ ΑΠΣΤΕΣ </w:t>
                  </w:r>
                  <w:r>
                    <w:rPr>
                      <w:rFonts w:ascii="Times New Roman" w:eastAsia="Times New Roman" w:hAnsi="Times New Roman" w:cs="Times New Roman"/>
                      <w:b/>
                      <w:lang w:val="en-US" w:eastAsia="el-GR"/>
                    </w:rPr>
                    <w:t xml:space="preserve">  </w:t>
                  </w:r>
                </w:p>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val="en-US" w:eastAsia="el-GR"/>
                    </w:rPr>
                    <w:t xml:space="preserve"> </w:t>
                  </w:r>
                  <w:r>
                    <w:rPr>
                      <w:rFonts w:ascii="Times New Roman" w:eastAsia="Times New Roman" w:hAnsi="Times New Roman" w:cs="Times New Roman"/>
                      <w:b/>
                      <w:lang w:eastAsia="el-GR"/>
                    </w:rPr>
                    <w:t xml:space="preserve"> ΠΥΡΣΤΕΣ ΤΕΧΝΙΚΟΙ</w:t>
                  </w:r>
                </w:p>
              </w:tc>
              <w:tc>
                <w:tcPr>
                  <w:tcW w:w="425"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val="en-US" w:eastAsia="el-GR"/>
                    </w:rPr>
                    <w:t xml:space="preserve"> </w:t>
                  </w:r>
                  <w:r>
                    <w:rPr>
                      <w:rFonts w:ascii="Times New Roman" w:eastAsia="Times New Roman" w:hAnsi="Times New Roman" w:cs="Times New Roman"/>
                      <w:b/>
                      <w:lang w:eastAsia="el-GR"/>
                    </w:rPr>
                    <w:t xml:space="preserve"> ΑΞ/ΚΟΙ  ΠΛΗΡ/ΚΗΣ</w:t>
                  </w:r>
                </w:p>
              </w:tc>
              <w:tc>
                <w:tcPr>
                  <w:tcW w:w="709"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ΠΥΡΜΟΙ ΑΠΣΤΕΣ  </w:t>
                  </w:r>
                </w:p>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ΠΥΡΣΤΕΣ ΠΛΗΡ/ΚΗΣ</w:t>
                  </w:r>
                </w:p>
              </w:tc>
              <w:tc>
                <w:tcPr>
                  <w:tcW w:w="494"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ΑΞ/ΚΟΙ   Π/Κ</w:t>
                  </w:r>
                </w:p>
              </w:tc>
              <w:tc>
                <w:tcPr>
                  <w:tcW w:w="498"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val="en-US" w:eastAsia="el-GR"/>
                    </w:rPr>
                    <w:t xml:space="preserve"> </w:t>
                  </w:r>
                  <w:r>
                    <w:rPr>
                      <w:rFonts w:ascii="Times New Roman" w:eastAsia="Times New Roman" w:hAnsi="Times New Roman" w:cs="Times New Roman"/>
                      <w:b/>
                      <w:lang w:eastAsia="el-GR"/>
                    </w:rPr>
                    <w:t xml:space="preserve"> ΑΞ/ΚΟΙ   Π/Μ</w:t>
                  </w:r>
                </w:p>
              </w:tc>
              <w:tc>
                <w:tcPr>
                  <w:tcW w:w="709"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ΠΥΡΜΟΙ ΑΠΣΤΕΣ  </w:t>
                  </w:r>
                </w:p>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ΠΥΡΣΤΕΣ   Π/Μ</w:t>
                  </w:r>
                </w:p>
              </w:tc>
              <w:tc>
                <w:tcPr>
                  <w:tcW w:w="430"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ΑΞ/ΚΟΙ  ΥΓ/ΚΟΙ</w:t>
                  </w:r>
                </w:p>
              </w:tc>
              <w:tc>
                <w:tcPr>
                  <w:tcW w:w="429"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val="en-US" w:eastAsia="el-GR"/>
                    </w:rPr>
                    <w:t xml:space="preserve"> </w:t>
                  </w:r>
                  <w:r>
                    <w:rPr>
                      <w:rFonts w:ascii="Times New Roman" w:eastAsia="Times New Roman" w:hAnsi="Times New Roman" w:cs="Times New Roman"/>
                      <w:b/>
                      <w:lang w:eastAsia="el-GR"/>
                    </w:rPr>
                    <w:t xml:space="preserve"> ΑΞ/ΚΟΙ    Χ/Α</w:t>
                  </w:r>
                </w:p>
              </w:tc>
              <w:tc>
                <w:tcPr>
                  <w:tcW w:w="421" w:type="dxa"/>
                  <w:tcBorders>
                    <w:top w:val="nil"/>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val="en-US" w:eastAsia="el-GR"/>
                    </w:rPr>
                    <w:t xml:space="preserve"> </w:t>
                  </w:r>
                  <w:r>
                    <w:rPr>
                      <w:rFonts w:ascii="Times New Roman" w:eastAsia="Times New Roman" w:hAnsi="Times New Roman" w:cs="Times New Roman"/>
                      <w:b/>
                      <w:lang w:eastAsia="el-GR"/>
                    </w:rPr>
                    <w:t xml:space="preserve"> ΠΥΡΜΟΙ    Χ/Α</w:t>
                  </w:r>
                </w:p>
              </w:tc>
              <w:tc>
                <w:tcPr>
                  <w:tcW w:w="426" w:type="dxa"/>
                  <w:tcBorders>
                    <w:top w:val="single" w:sz="4" w:space="0" w:color="auto"/>
                    <w:left w:val="nil"/>
                    <w:bottom w:val="single" w:sz="4" w:space="0" w:color="auto"/>
                    <w:right w:val="single" w:sz="4" w:space="0" w:color="auto"/>
                  </w:tcBorders>
                  <w:shd w:val="clear" w:color="auto" w:fill="auto"/>
                  <w:textDirection w:val="tbLrV"/>
                  <w:vAlign w:val="center"/>
                  <w:hideMark/>
                </w:tcPr>
                <w:p>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val="en-US" w:eastAsia="el-GR"/>
                    </w:rPr>
                    <w:t xml:space="preserve"> </w:t>
                  </w:r>
                  <w:r>
                    <w:rPr>
                      <w:rFonts w:ascii="Times New Roman" w:eastAsia="Times New Roman" w:hAnsi="Times New Roman" w:cs="Times New Roman"/>
                      <w:b/>
                      <w:lang w:eastAsia="el-GR"/>
                    </w:rPr>
                    <w:t xml:space="preserve"> ΑΞ/ΚΟΙ    Τ/Α</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sz w:val="24"/>
                      <w:szCs w:val="24"/>
                      <w:lang w:eastAsia="el-GR"/>
                    </w:rPr>
                    <w:t>ΠΕ.ΠΥ.Δ.     ΑΤΤΙΚΗΣ</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ΑΤΤΙΚΗΣ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7</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54</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-30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66</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84</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0</w:t>
                  </w: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-2</w:t>
                  </w: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0</w:t>
                  </w: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-1</w:t>
                  </w: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-1</w:t>
                  </w: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0</w:t>
                  </w: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0</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ΑΙΓΙΝΑ</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ΚΕΝΤΡΙΚΗΣ   ΜΑΚΕΔΟΝΙΑΣ</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ΘΕΣ</w:t>
                  </w:r>
                  <w:r>
                    <w:rPr>
                      <w:rFonts w:ascii="Times New Roman" w:eastAsia="Times New Roman" w:hAnsi="Times New Roman" w:cs="Times New Roman"/>
                      <w:lang w:val="en-US" w:eastAsia="el-GR"/>
                    </w:rPr>
                    <w:t>/</w:t>
                  </w:r>
                  <w:r>
                    <w:rPr>
                      <w:rFonts w:ascii="Times New Roman" w:eastAsia="Times New Roman" w:hAnsi="Times New Roman" w:cs="Times New Roman"/>
                      <w:lang w:eastAsia="el-GR"/>
                    </w:rPr>
                    <w:t>ΝΙΚΗΣ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-8</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+56</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ΗΜΑΘΙΑΣ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-5</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ΠΕΛΛΑΣ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+6</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ΠΙΕΡΙΑΣ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ΚΙΛΚΙΣ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-14</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ΧΑΛΚΙΔΙΚΗΣ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36</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ΣΕΡΡΩΝ</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16</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ΑΝΑΤΟΛΙΚΗΣ  ΜΑΚΕΔΟΝΙΑΣ   &amp; ΘΡΑΚΗΣ</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ΡΟΔΟΠΗΣ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ΕΒΡΟΥ</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ΣΑΜΟΘΡΑΚΗ</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ΔΡΑΜΑΣ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-6</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ΚΑΒΑΛΑΣ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ΘΑΣΟΣ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ΞΑΝΘΗΣ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ΔΥΤΙΚΗΣ    ΜΑΚΕΔΟΝΙΑΣ</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ΚΟΖΑΝΗΣ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ΓΡΕΒΕΝΩΝ</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+5</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ΚΑΣΤΟΡΙΑΣ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ΦΛΩΡΙΝΑΣ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ΗΠΕΙΡΟΥ</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ΙΩΑΝΝΙΝΩΝ</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4</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-5</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-18</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ΑΡΤΑΣ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-5</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ΘΕΣΠΡΩΤΙΑΣ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-42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ΠΡΕΒΕΖΑΣ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5</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ΘΕΣΣΑΛΙΑΣ</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ΛΑΡΙΣΑΣ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5</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600"/>
              </w:trPr>
              <w:tc>
                <w:tcPr>
                  <w:tcW w:w="250" w:type="dxa"/>
                  <w:tcBorders>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Π.Υ. ΒΟΛΟΥ, ΒΙ.ΠΕ. &amp; ΠΥ Π/Α Αγχιάλου &amp; ΠΚ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val="en-US" w:eastAsia="el-GR"/>
                    </w:rPr>
                    <w:t>+</w:t>
                  </w:r>
                  <w:r>
                    <w:rPr>
                      <w:rFonts w:ascii="Times New Roman" w:eastAsia="Times New Roman" w:hAnsi="Times New Roman" w:cs="Times New Roman"/>
                      <w:b/>
                      <w:lang w:eastAsia="el-GR"/>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ΣΚΙΑΘΟΣ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15</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70"/>
              </w:trPr>
              <w:tc>
                <w:tcPr>
                  <w:tcW w:w="250" w:type="dxa"/>
                  <w:tcBorders>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ΣΚΟΠΕΛΟΣ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ΑΛΟΝΗΣΟΣ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ΚΑΡΔΙΤΣΑΣ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-4</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single" w:sz="4" w:space="0" w:color="auto"/>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ΤΡΙΚΑΛΩΝ</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-7</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ΔΥΤΙΚΗΣ    ΕΛΛΑΔΑΣ</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ΑΧΑΙΑΣ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6</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-5</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-61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ΑΙΤΩΛ/ΝΙΑΣ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ΗΛΕΙΑΣ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ΠΕΛΟΠΟΝΝΗΣΟΥ</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ΑΡΚΑΔΙΑΣ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85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bCs/>
                      <w:lang w:eastAsia="el-GR"/>
                    </w:rPr>
                    <w:t>0</w:t>
                  </w: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ΜΕΣΣΗΝΙΑΣ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ΚΟΡΙΝΘΟΥ</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ΑΡΓΟΛΙΔΟΣ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ΛΑΚΩΝΙΑΣ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-4</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ΚΥΘΗΡΑ</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ΣΤΕΡΕΑΣ    ΕΛΛΑΔΑΣ</w:t>
                  </w: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ΦΘΙΩΤΙΔΑΣ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5</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-6</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-37</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1134" w:type="dxa"/>
                  <w:gridSpan w:val="2"/>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ΦΩΚΙΔΑΣ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-5</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ΒΟΙΩΤΙΑΣ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-8</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ΕΥΡΥΤΑΝΙΑΣ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Π.Υ ΧΑΛΚΙΔΑΣ &amp; Π.Κ.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-6</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ΣΚΥΡΟΣ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Π.Υ. ΙΣΤΙΑΙΑΣ &amp;  Π.Κ.</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ΒΟΡΕΙΟΥ ΑΙΓΑΙΟΥ</w:t>
                  </w: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ΛΕΣΒΟΣ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-27</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ΛΗΜΝΟΣ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-7</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ΣΑΜΟΣ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ΙΚΑΡΙΑ</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ΧΙΟΣ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+4</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ΚΡΗΤΗΣ</w:t>
                  </w: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ΗΡΑΚΛΕΙΟΥ</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+3</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-4</w:t>
                  </w: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ΛΑΣΙΘΙΟΥ</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-7</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ΡΕΘΥΜΝΟΥ</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-3</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ΧΑΝΙΩΝ</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-25</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ΙΟΝΙΩΝ   ΝΗΣΩΝ</w:t>
                  </w: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ΝΟΜΟΣ ΚΕΡΚΥΡΑΣ</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-15</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ΓΑΙΟΥ ΠΑΞΩΝ</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ΚΕΦΑΛ/ΝΙΑΣ</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-9</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ΙΘΑΚΗ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ΖΑΚΥΝΘΟΣ</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-8</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hideMark/>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ΝΗΣΟΣ ΛΕΥΚΑΔΑ</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70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56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tcPr>
                <w:p>
                  <w:pPr>
                    <w:spacing w:after="0" w:line="240" w:lineRule="auto"/>
                    <w:rPr>
                      <w:rFonts w:ascii="Times New Roman" w:eastAsia="Times New Roman" w:hAnsi="Times New Roman" w:cs="Times New Roman"/>
                      <w:sz w:val="18"/>
                      <w:szCs w:val="18"/>
                      <w:lang w:eastAsia="el-GR"/>
                    </w:rPr>
                  </w:pPr>
                </w:p>
              </w:tc>
              <w:tc>
                <w:tcPr>
                  <w:tcW w:w="11374" w:type="dxa"/>
                  <w:gridSpan w:val="17"/>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ΠΕ.ΠΥ.Δ   ΝΟΤΙΟΥ ΑΙΓΑΙΟΥ</w:t>
                  </w:r>
                </w:p>
              </w:tc>
            </w:tr>
            <w:tr>
              <w:trPr>
                <w:gridAfter w:val="1"/>
                <w:wAfter w:w="142" w:type="dxa"/>
                <w:trHeight w:val="300"/>
              </w:trPr>
              <w:tc>
                <w:tcPr>
                  <w:tcW w:w="250" w:type="dxa"/>
                  <w:tcBorders>
                    <w:top w:val="nil"/>
                    <w:left w:val="single" w:sz="4" w:space="0" w:color="auto"/>
                    <w:right w:val="single" w:sz="4" w:space="0" w:color="auto"/>
                  </w:tcBorders>
                  <w:shd w:val="clear" w:color="000000" w:fill="FFFFFF"/>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ΠΥ Ερμούπολης  </w:t>
                  </w:r>
                  <w:r>
                    <w:rPr>
                      <w:rFonts w:ascii="Times New Roman" w:eastAsia="Times New Roman" w:hAnsi="Times New Roman" w:cs="Times New Roman"/>
                      <w:lang w:val="en-US" w:eastAsia="el-GR"/>
                    </w:rPr>
                    <w:t xml:space="preserve">&amp; Π.Κ. </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val="en-US" w:eastAsia="el-GR"/>
                    </w:rPr>
                    <w:t>+</w:t>
                  </w: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val="en-US" w:eastAsia="el-GR"/>
                    </w:rPr>
                    <w:t>+</w:t>
                  </w: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709"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-23</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right w:val="single" w:sz="4" w:space="0" w:color="auto"/>
                  </w:tcBorders>
                  <w:shd w:val="clear" w:color="000000" w:fill="FFFFFF"/>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Π.Υ.   ΡΟΔΟΥ &amp;  Π.Κ. </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0</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+4</w:t>
                  </w:r>
                </w:p>
              </w:tc>
              <w:tc>
                <w:tcPr>
                  <w:tcW w:w="709"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-17</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r>
            <w:tr>
              <w:trPr>
                <w:gridAfter w:val="1"/>
                <w:wAfter w:w="142" w:type="dxa"/>
                <w:trHeight w:val="300"/>
              </w:trPr>
              <w:tc>
                <w:tcPr>
                  <w:tcW w:w="250" w:type="dxa"/>
                  <w:tcBorders>
                    <w:top w:val="nil"/>
                    <w:left w:val="single" w:sz="4" w:space="0" w:color="auto"/>
                    <w:bottom w:val="single" w:sz="4" w:space="0" w:color="auto"/>
                    <w:right w:val="single" w:sz="4" w:space="0" w:color="auto"/>
                  </w:tcBorders>
                  <w:shd w:val="clear" w:color="000000" w:fill="FFFFFF"/>
                </w:tcPr>
                <w:p>
                  <w:pPr>
                    <w:spacing w:after="0" w:line="240" w:lineRule="auto"/>
                    <w:rPr>
                      <w:rFonts w:ascii="Times New Roman" w:eastAsia="Times New Roman" w:hAnsi="Times New Roman" w:cs="Times New Roman"/>
                      <w:sz w:val="18"/>
                      <w:szCs w:val="18"/>
                      <w:lang w:eastAsia="el-GR"/>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ind w:left="-108"/>
                    <w:rPr>
                      <w:rFonts w:ascii="Times New Roman" w:eastAsia="Times New Roman" w:hAnsi="Times New Roman" w:cs="Times New Roman"/>
                      <w:lang w:eastAsia="el-GR"/>
                    </w:rPr>
                  </w:pPr>
                  <w:r>
                    <w:rPr>
                      <w:rFonts w:ascii="Times New Roman" w:eastAsia="Times New Roman" w:hAnsi="Times New Roman" w:cs="Times New Roman"/>
                      <w:lang w:eastAsia="el-GR"/>
                    </w:rPr>
                    <w:t>Π.Υ.  ΚΩ  &amp;  Π.Κ.</w:t>
                  </w:r>
                </w:p>
              </w:tc>
              <w:tc>
                <w:tcPr>
                  <w:tcW w:w="567"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+1</w:t>
                  </w:r>
                </w:p>
              </w:tc>
              <w:tc>
                <w:tcPr>
                  <w:tcW w:w="709"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-2</w:t>
                  </w:r>
                </w:p>
              </w:tc>
              <w:tc>
                <w:tcPr>
                  <w:tcW w:w="709"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-3</w:t>
                  </w:r>
                </w:p>
              </w:tc>
              <w:tc>
                <w:tcPr>
                  <w:tcW w:w="567"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708"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94"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98"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709"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30"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9"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1"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c>
                <w:tcPr>
                  <w:tcW w:w="426"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lang w:eastAsia="el-GR"/>
                    </w:rPr>
                  </w:pPr>
                </w:p>
              </w:tc>
            </w:tr>
          </w:tbl>
          <w:p>
            <w:pPr>
              <w:spacing w:after="0" w:line="240" w:lineRule="auto"/>
              <w:rPr>
                <w:rFonts w:ascii="Times New Roman" w:eastAsia="Times New Roman" w:hAnsi="Times New Roman" w:cs="Times New Roman"/>
                <w:b/>
                <w:bCs/>
                <w:lang w:eastAsia="el-GR"/>
              </w:rPr>
            </w:pPr>
          </w:p>
          <w:p>
            <w:pPr>
              <w:spacing w:after="0" w:line="240" w:lineRule="auto"/>
              <w:jc w:val="center"/>
              <w:rPr>
                <w:rFonts w:ascii="Times New Roman" w:eastAsia="Times New Roman" w:hAnsi="Times New Roman" w:cs="Times New Roman"/>
                <w:b/>
                <w:bCs/>
                <w:lang w:eastAsia="el-GR"/>
              </w:rPr>
            </w:pPr>
          </w:p>
          <w:p>
            <w:pPr>
              <w:spacing w:after="0" w:line="240" w:lineRule="auto"/>
              <w:jc w:val="center"/>
              <w:rPr>
                <w:rFonts w:ascii="Times New Roman" w:eastAsia="Times New Roman" w:hAnsi="Times New Roman" w:cs="Times New Roman"/>
                <w:b/>
                <w:bCs/>
                <w:lang w:eastAsia="el-GR"/>
              </w:rPr>
            </w:pPr>
          </w:p>
          <w:p>
            <w:pPr>
              <w:spacing w:after="0" w:line="240" w:lineRule="auto"/>
              <w:jc w:val="center"/>
              <w:rPr>
                <w:rFonts w:ascii="Times New Roman" w:eastAsia="Times New Roman" w:hAnsi="Times New Roman" w:cs="Times New Roman"/>
                <w:b/>
                <w:bCs/>
                <w:lang w:eastAsia="el-GR"/>
              </w:rPr>
            </w:pPr>
          </w:p>
        </w:tc>
      </w:tr>
    </w:tbl>
    <w:p>
      <w:pPr>
        <w:tabs>
          <w:tab w:val="left" w:pos="9240"/>
        </w:tabs>
        <w:rPr>
          <w:rFonts w:ascii="Times New Roman" w:hAnsi="Times New Roman" w:cs="Times New Roman"/>
          <w:sz w:val="32"/>
          <w:szCs w:val="32"/>
          <w:lang w:bidi="en-US"/>
        </w:rPr>
      </w:pPr>
    </w:p>
    <w:sectPr>
      <w:headerReference w:type="even" r:id="rId9"/>
      <w:headerReference w:type="default" r:id="rId10"/>
      <w:footerReference w:type="even" r:id="rId11"/>
      <w:footerReference w:type="default" r:id="rId12"/>
      <w:headerReference w:type="first" r:id="rId13"/>
      <w:footerReference w:type="first" r:id="rId14"/>
      <w:pgSz w:w="11907" w:h="16839" w:code="9"/>
      <w:pgMar w:top="709" w:right="850" w:bottom="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799907" o:spid="_x0000_s2055" type="#_x0000_t136" style="position:absolute;margin-left:0;margin-top:0;width:566.8pt;height:212.55pt;rotation:315;z-index:-251655168;mso-position-horizontal:center;mso-position-horizontal-relative:margin;mso-position-vertical:center;mso-position-vertical-relative:margin" o:allowincell="f" fillcolor="silver" stroked="f">
          <v:fill opacity=".5"/>
          <v:textpath style="font-family:&quot;Calibri&quot;;font-size:1pt" string="Ε.Α.Κ.Π."/>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799908" o:spid="_x0000_s2056" type="#_x0000_t136" style="position:absolute;margin-left:0;margin-top:0;width:566.8pt;height:212.55pt;rotation:315;z-index:-251653120;mso-position-horizontal:center;mso-position-horizontal-relative:margin;mso-position-vertical:center;mso-position-vertical-relative:margin" o:allowincell="f" fillcolor="silver" stroked="f">
          <v:fill opacity=".5"/>
          <v:textpath style="font-family:&quot;Calibri&quot;;font-size:1pt" string="Ε.Α.Κ.Π."/>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799906" o:spid="_x0000_s2054" type="#_x0000_t136" style="position:absolute;margin-left:0;margin-top:0;width:566.8pt;height:212.55pt;rotation:315;z-index:-251657216;mso-position-horizontal:center;mso-position-horizontal-relative:margin;mso-position-vertical:center;mso-position-vertical-relative:margin" o:allowincell="f" fillcolor="silver" stroked="f">
          <v:fill opacity=".5"/>
          <v:textpath style="font-family:&quot;Calibri&quot;;font-size:1pt" string="Ε.Α.Κ.Π."/>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5F668516-83B2-43D8-A148-31CF071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563C1"/>
      <w:u w:val="single"/>
    </w:rPr>
  </w:style>
  <w:style w:type="character" w:styleId="-0">
    <w:name w:val="FollowedHyperlink"/>
    <w:basedOn w:val="a0"/>
    <w:uiPriority w:val="99"/>
    <w:semiHidden/>
    <w:unhideWhenUsed/>
    <w:rPr>
      <w:color w:val="954F72"/>
      <w:u w:val="single"/>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sz w:val="23"/>
      <w:szCs w:val="23"/>
      <w:lang w:eastAsia="el-GR"/>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l-GR"/>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68">
    <w:name w:val="xl68"/>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69">
    <w:name w:val="xl69"/>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0">
    <w:name w:val="xl70"/>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1">
    <w:name w:val="xl71"/>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2">
    <w:name w:val="xl72"/>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3">
    <w:name w:val="xl73"/>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4">
    <w:name w:val="xl74"/>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5">
    <w:name w:val="xl75"/>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el-GR"/>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8">
    <w:name w:val="xl78"/>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9">
    <w:name w:val="xl79"/>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80">
    <w:name w:val="xl80"/>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1">
    <w:name w:val="xl81"/>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3">
    <w:name w:val="xl83"/>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3"/>
      <w:szCs w:val="23"/>
      <w:lang w:eastAsia="el-GR"/>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el-GR"/>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87">
    <w:name w:val="xl87"/>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color w:val="00B050"/>
      <w:sz w:val="23"/>
      <w:szCs w:val="23"/>
      <w:lang w:eastAsia="el-GR"/>
    </w:rPr>
  </w:style>
  <w:style w:type="paragraph" w:customStyle="1" w:styleId="xl88">
    <w:name w:val="xl88"/>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l-GR"/>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3"/>
      <w:szCs w:val="23"/>
      <w:lang w:eastAsia="el-GR"/>
    </w:rPr>
  </w:style>
  <w:style w:type="paragraph" w:customStyle="1" w:styleId="xl91">
    <w:name w:val="xl9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3"/>
      <w:szCs w:val="23"/>
      <w:lang w:eastAsia="el-GR"/>
    </w:rPr>
  </w:style>
  <w:style w:type="paragraph" w:customStyle="1" w:styleId="xl92">
    <w:name w:val="xl9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eastAsia="el-GR"/>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94">
    <w:name w:val="xl9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el-GR"/>
    </w:rPr>
  </w:style>
  <w:style w:type="paragraph" w:customStyle="1" w:styleId="xl95">
    <w:name w:val="xl9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96">
    <w:name w:val="xl9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7">
    <w:name w:val="xl9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3"/>
      <w:szCs w:val="23"/>
      <w:lang w:eastAsia="el-GR"/>
    </w:rPr>
  </w:style>
  <w:style w:type="paragraph" w:customStyle="1" w:styleId="xl98">
    <w:name w:val="xl9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3"/>
      <w:szCs w:val="23"/>
      <w:lang w:eastAsia="el-GR"/>
    </w:rPr>
  </w:style>
  <w:style w:type="paragraph" w:customStyle="1" w:styleId="xl99">
    <w:name w:val="xl9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0">
    <w:name w:val="xl10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eastAsia="el-GR"/>
    </w:rPr>
  </w:style>
  <w:style w:type="paragraph" w:customStyle="1" w:styleId="xl102">
    <w:name w:val="xl102"/>
    <w:basedOn w:val="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103">
    <w:name w:val="xl103"/>
    <w:basedOn w:val="a"/>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104">
    <w:name w:val="xl104"/>
    <w:basedOn w:val="a"/>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105">
    <w:name w:val="xl105"/>
    <w:basedOn w:val="a"/>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6">
    <w:name w:val="xl106"/>
    <w:basedOn w:val="a"/>
    <w:pPr>
      <w:spacing w:before="100" w:beforeAutospacing="1" w:after="100" w:afterAutospacing="1" w:line="240" w:lineRule="auto"/>
      <w:jc w:val="center"/>
    </w:pPr>
    <w:rPr>
      <w:rFonts w:ascii="Times New Roman" w:eastAsia="Times New Roman" w:hAnsi="Times New Roman" w:cs="Times New Roman"/>
      <w:color w:val="00B050"/>
      <w:sz w:val="24"/>
      <w:szCs w:val="24"/>
      <w:lang w:eastAsia="el-GR"/>
    </w:rPr>
  </w:style>
  <w:style w:type="paragraph" w:customStyle="1" w:styleId="xl107">
    <w:name w:val="xl107"/>
    <w:basedOn w:val="a"/>
    <w:pPr>
      <w:spacing w:before="100" w:beforeAutospacing="1" w:after="100" w:afterAutospacing="1" w:line="240" w:lineRule="auto"/>
      <w:jc w:val="center"/>
    </w:pPr>
    <w:rPr>
      <w:rFonts w:ascii="Times New Roman" w:eastAsia="Times New Roman" w:hAnsi="Times New Roman" w:cs="Times New Roman"/>
      <w:color w:val="FF0000"/>
      <w:sz w:val="24"/>
      <w:szCs w:val="24"/>
      <w:lang w:eastAsia="el-GR"/>
    </w:rPr>
  </w:style>
  <w:style w:type="paragraph" w:customStyle="1" w:styleId="xl108">
    <w:name w:val="xl10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C000"/>
      <w:sz w:val="23"/>
      <w:szCs w:val="23"/>
      <w:lang w:eastAsia="el-GR"/>
    </w:rPr>
  </w:style>
  <w:style w:type="paragraph" w:customStyle="1" w:styleId="xl109">
    <w:name w:val="xl10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C000"/>
      <w:sz w:val="23"/>
      <w:szCs w:val="23"/>
      <w:lang w:eastAsia="el-GR"/>
    </w:rPr>
  </w:style>
  <w:style w:type="paragraph" w:customStyle="1" w:styleId="xl110">
    <w:name w:val="xl11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C000"/>
      <w:sz w:val="24"/>
      <w:szCs w:val="24"/>
      <w:lang w:eastAsia="el-GR"/>
    </w:rPr>
  </w:style>
  <w:style w:type="paragraph" w:customStyle="1" w:styleId="xl111">
    <w:name w:val="xl11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C000"/>
      <w:sz w:val="24"/>
      <w:szCs w:val="24"/>
      <w:lang w:eastAsia="el-GR"/>
    </w:rPr>
  </w:style>
  <w:style w:type="paragraph" w:customStyle="1" w:styleId="xl112">
    <w:name w:val="xl112"/>
    <w:basedOn w:val="a"/>
    <w:pPr>
      <w:spacing w:before="100" w:beforeAutospacing="1" w:after="100" w:afterAutospacing="1" w:line="240" w:lineRule="auto"/>
      <w:jc w:val="center"/>
      <w:textAlignment w:val="top"/>
    </w:pPr>
    <w:rPr>
      <w:rFonts w:ascii="Times New Roman" w:eastAsia="Times New Roman" w:hAnsi="Times New Roman" w:cs="Times New Roman"/>
      <w:b/>
      <w:bCs/>
      <w:sz w:val="23"/>
      <w:szCs w:val="23"/>
      <w:lang w:eastAsia="el-GR"/>
    </w:rPr>
  </w:style>
  <w:style w:type="paragraph" w:customStyle="1" w:styleId="xl113">
    <w:name w:val="xl113"/>
    <w:basedOn w:val="a"/>
    <w:pPr>
      <w:spacing w:before="100" w:beforeAutospacing="1" w:after="100" w:afterAutospacing="1" w:line="240" w:lineRule="auto"/>
      <w:jc w:val="center"/>
      <w:textAlignment w:val="top"/>
    </w:pPr>
    <w:rPr>
      <w:rFonts w:ascii="Times New Roman" w:eastAsia="Times New Roman" w:hAnsi="Times New Roman" w:cs="Times New Roman"/>
      <w:sz w:val="23"/>
      <w:szCs w:val="23"/>
      <w:lang w:eastAsia="el-GR"/>
    </w:rPr>
  </w:style>
  <w:style w:type="paragraph" w:customStyle="1" w:styleId="xl114">
    <w:name w:val="xl114"/>
    <w:basedOn w:val="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3"/>
      <w:szCs w:val="23"/>
      <w:lang w:eastAsia="el-GR"/>
    </w:rPr>
  </w:style>
  <w:style w:type="paragraph" w:styleId="a3">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3"/>
    <w:uiPriority w:val="99"/>
  </w:style>
  <w:style w:type="paragraph" w:styleId="a4">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3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087D-769F-42B7-9595-521FB5D8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1150</Words>
  <Characters>6211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10</cp:revision>
  <dcterms:created xsi:type="dcterms:W3CDTF">2020-03-30T14:00:00Z</dcterms:created>
  <dcterms:modified xsi:type="dcterms:W3CDTF">2020-03-30T18:47:00Z</dcterms:modified>
</cp:coreProperties>
</file>